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CellMar>
          <w:left w:w="0" w:type="dxa"/>
          <w:right w:w="0" w:type="dxa"/>
        </w:tblCellMar>
        <w:tblLook w:val="0000" w:firstRow="0" w:lastRow="0" w:firstColumn="0" w:lastColumn="0" w:noHBand="0" w:noVBand="0"/>
      </w:tblPr>
      <w:tblGrid>
        <w:gridCol w:w="2835"/>
        <w:gridCol w:w="6633"/>
      </w:tblGrid>
      <w:tr w:rsidR="00C469A0" w14:paraId="53A9DA2A" w14:textId="77777777" w:rsidTr="00587633">
        <w:trPr>
          <w:trHeight w:val="1440"/>
        </w:trPr>
        <w:tc>
          <w:tcPr>
            <w:tcW w:w="2835" w:type="dxa"/>
            <w:tcBorders>
              <w:top w:val="nil"/>
              <w:left w:val="nil"/>
              <w:bottom w:val="nil"/>
              <w:right w:val="nil"/>
            </w:tcBorders>
          </w:tcPr>
          <w:p w14:paraId="0BF2F409" w14:textId="77777777" w:rsidR="00C469A0" w:rsidRDefault="00316284">
            <w:pPr>
              <w:pStyle w:val="ZCom"/>
            </w:pPr>
            <w:r>
              <w:rPr>
                <w:sz w:val="20"/>
                <w:szCs w:val="20"/>
              </w:rPr>
              <w:pict w14:anchorId="7EAF2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75pt;height:55.05pt" fillcolor="window">
                  <v:imagedata r:id="rId11" o:title=""/>
                </v:shape>
              </w:pict>
            </w:r>
          </w:p>
        </w:tc>
        <w:tc>
          <w:tcPr>
            <w:tcW w:w="6633" w:type="dxa"/>
            <w:tcBorders>
              <w:top w:val="nil"/>
              <w:left w:val="nil"/>
              <w:bottom w:val="nil"/>
              <w:right w:val="nil"/>
            </w:tcBorders>
          </w:tcPr>
          <w:p w14:paraId="0288A97B" w14:textId="77777777" w:rsidR="00C469A0" w:rsidRDefault="00C469A0">
            <w:pPr>
              <w:pStyle w:val="ZCom"/>
              <w:spacing w:before="90"/>
            </w:pPr>
            <w:r>
              <w:t>EUROPEAN COMMISSION</w:t>
            </w:r>
          </w:p>
          <w:p w14:paraId="4FDA8D9A" w14:textId="77777777" w:rsidR="00C469A0" w:rsidRDefault="00C469A0">
            <w:pPr>
              <w:pStyle w:val="ZDGName"/>
            </w:pPr>
            <w:r>
              <w:t>Directorate-General for European Civil Protection and Humanitarian Aid Operations (ECHO)</w:t>
            </w:r>
          </w:p>
          <w:p w14:paraId="0E773673" w14:textId="77777777" w:rsidR="00C469A0" w:rsidRDefault="00C469A0">
            <w:pPr>
              <w:pStyle w:val="ZDGName"/>
            </w:pPr>
          </w:p>
          <w:p w14:paraId="0E709AAB" w14:textId="56A42067" w:rsidR="00C469A0" w:rsidRDefault="00C469A0">
            <w:pPr>
              <w:pStyle w:val="ZDGName"/>
            </w:pPr>
            <w:r>
              <w:t xml:space="preserve">ECHO.A - </w:t>
            </w:r>
            <w:r w:rsidR="00587633" w:rsidRPr="00587633">
              <w:t>Emergency Management and rescEU</w:t>
            </w:r>
          </w:p>
          <w:p w14:paraId="10EA5124" w14:textId="2A367CBC" w:rsidR="00C469A0" w:rsidRDefault="00587633">
            <w:pPr>
              <w:pStyle w:val="ZDGName"/>
            </w:pPr>
            <w:r>
              <w:rPr>
                <w:b/>
                <w:bCs/>
              </w:rPr>
              <w:t>A.2</w:t>
            </w:r>
            <w:r w:rsidR="00C469A0">
              <w:rPr>
                <w:b/>
                <w:bCs/>
              </w:rPr>
              <w:t xml:space="preserve"> - </w:t>
            </w:r>
            <w:r w:rsidRPr="00587633">
              <w:rPr>
                <w:b/>
                <w:bCs/>
              </w:rPr>
              <w:t>Capacities and Operational Support</w:t>
            </w:r>
          </w:p>
          <w:p w14:paraId="08377C57" w14:textId="77777777" w:rsidR="00C469A0" w:rsidRDefault="00C469A0">
            <w:pPr>
              <w:pStyle w:val="ZDGName"/>
            </w:pPr>
          </w:p>
        </w:tc>
      </w:tr>
    </w:tbl>
    <w:p w14:paraId="492F4785" w14:textId="11C81F22" w:rsidR="006516DB" w:rsidRPr="008C57F2" w:rsidRDefault="006516DB" w:rsidP="006516DB">
      <w:pPr>
        <w:jc w:val="center"/>
        <w:rPr>
          <w:rFonts w:eastAsia="Calibri"/>
          <w:b/>
          <w:sz w:val="36"/>
          <w:szCs w:val="36"/>
        </w:rPr>
      </w:pPr>
      <w:r w:rsidRPr="008C57F2">
        <w:rPr>
          <w:rFonts w:eastAsia="Calibri"/>
          <w:b/>
          <w:sz w:val="36"/>
          <w:szCs w:val="36"/>
        </w:rPr>
        <w:t xml:space="preserve">Template for application to register a module, technical assistance and support team, or other response capacity in the European </w:t>
      </w:r>
      <w:r w:rsidR="00587633">
        <w:rPr>
          <w:rFonts w:eastAsia="Calibri"/>
          <w:b/>
          <w:sz w:val="36"/>
          <w:szCs w:val="36"/>
        </w:rPr>
        <w:t>Civil Protection Pool</w:t>
      </w:r>
      <w:r>
        <w:rPr>
          <w:rFonts w:eastAsia="Calibri"/>
          <w:b/>
          <w:sz w:val="36"/>
          <w:szCs w:val="36"/>
        </w:rPr>
        <w:t xml:space="preserve"> (E</w:t>
      </w:r>
      <w:r w:rsidR="00587633">
        <w:rPr>
          <w:rFonts w:eastAsia="Calibri"/>
          <w:b/>
          <w:sz w:val="36"/>
          <w:szCs w:val="36"/>
        </w:rPr>
        <w:t>CPP</w:t>
      </w:r>
      <w:r>
        <w:rPr>
          <w:rFonts w:eastAsia="Calibri"/>
          <w:b/>
          <w:sz w:val="36"/>
          <w:szCs w:val="36"/>
        </w:rPr>
        <w:t>)</w:t>
      </w:r>
      <w:r w:rsidRPr="008C57F2">
        <w:rPr>
          <w:rFonts w:eastAsia="Calibri"/>
          <w:b/>
          <w:sz w:val="36"/>
          <w:szCs w:val="36"/>
          <w:vertAlign w:val="superscript"/>
        </w:rPr>
        <w:footnoteReference w:id="1"/>
      </w:r>
    </w:p>
    <w:p w14:paraId="3DBC517D" w14:textId="4B5AA3FD" w:rsidR="003167EC" w:rsidRPr="003167EC" w:rsidRDefault="003167EC" w:rsidP="006516DB">
      <w:pPr>
        <w:rPr>
          <w:rFonts w:eastAsia="Calibri"/>
          <w:color w:val="0070C0"/>
          <w:sz w:val="20"/>
        </w:rPr>
      </w:pPr>
      <w:r w:rsidRPr="003167EC">
        <w:rPr>
          <w:rFonts w:eastAsia="Calibri"/>
          <w:color w:val="0070C0"/>
          <w:sz w:val="20"/>
        </w:rPr>
        <w:t>N.B. Text in blue represents explanation on the contents expected to be filled in, and should be deleted when filling in the application.</w:t>
      </w:r>
    </w:p>
    <w:p w14:paraId="2ADBEFB4"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Country (-ries)</w:t>
      </w:r>
      <w:r w:rsidRPr="003722B2">
        <w:rPr>
          <w:rFonts w:eastAsia="Calibri"/>
          <w:sz w:val="22"/>
          <w:szCs w:val="22"/>
        </w:rPr>
        <w:t xml:space="preserve"> offering the module, technical assistance and support team (TAST), other response capacity and the </w:t>
      </w:r>
      <w:r w:rsidRPr="003722B2">
        <w:rPr>
          <w:rFonts w:eastAsia="Calibri"/>
          <w:b/>
          <w:sz w:val="22"/>
          <w:szCs w:val="22"/>
          <w:u w:val="single"/>
        </w:rPr>
        <w:t>full name of the authority (-ies)</w:t>
      </w:r>
      <w:r w:rsidRPr="003722B2">
        <w:rPr>
          <w:rFonts w:eastAsia="Calibri"/>
          <w:sz w:val="22"/>
          <w:szCs w:val="22"/>
        </w:rPr>
        <w:t xml:space="preserve"> endorsing this offer: </w:t>
      </w:r>
    </w:p>
    <w:p w14:paraId="52879CF0" w14:textId="77777777" w:rsidR="006516DB" w:rsidRPr="008C57F2" w:rsidRDefault="006516DB" w:rsidP="006516DB">
      <w:pPr>
        <w:spacing w:after="200" w:line="276" w:lineRule="auto"/>
        <w:ind w:left="360"/>
        <w:rPr>
          <w:rFonts w:eastAsia="Calibri"/>
          <w:sz w:val="22"/>
          <w:szCs w:val="22"/>
        </w:rPr>
      </w:pPr>
      <w:r w:rsidRPr="008C57F2">
        <w:rPr>
          <w:rFonts w:eastAsia="Calibri"/>
          <w:color w:val="0070C0"/>
          <w:sz w:val="22"/>
          <w:szCs w:val="22"/>
        </w:rPr>
        <w:t xml:space="preserve">For modules, TAST or other response capacities put forward by more than one country on a rotation basis: </w:t>
      </w:r>
      <w:r w:rsidRPr="008C57F2">
        <w:rPr>
          <w:rFonts w:eastAsia="Calibri"/>
          <w:color w:val="0070C0"/>
          <w:sz w:val="22"/>
          <w:szCs w:val="22"/>
          <w:u w:val="single"/>
        </w:rPr>
        <w:t>please add confirmation of the fact that all countries involved support this application</w:t>
      </w:r>
      <w:r w:rsidRPr="008C57F2">
        <w:rPr>
          <w:rFonts w:eastAsia="Calibri"/>
          <w:color w:val="0070C0"/>
          <w:sz w:val="22"/>
          <w:szCs w:val="22"/>
        </w:rPr>
        <w:t xml:space="preserve">. </w:t>
      </w:r>
    </w:p>
    <w:p w14:paraId="379C8725"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Type of module, TAST or other response capacity</w:t>
      </w:r>
      <w:r w:rsidRPr="003722B2">
        <w:rPr>
          <w:rFonts w:eastAsia="Calibri"/>
          <w:sz w:val="22"/>
          <w:szCs w:val="22"/>
        </w:rPr>
        <w:t>:</w:t>
      </w:r>
    </w:p>
    <w:p w14:paraId="0AF955C2" w14:textId="78A7BEBA" w:rsidR="006516DB" w:rsidRPr="008C57F2" w:rsidRDefault="003167EC" w:rsidP="006516DB">
      <w:pPr>
        <w:spacing w:after="200" w:line="276" w:lineRule="auto"/>
        <w:ind w:left="360"/>
        <w:rPr>
          <w:rFonts w:eastAsia="Calibri"/>
          <w:color w:val="0070C0"/>
          <w:sz w:val="22"/>
          <w:szCs w:val="22"/>
        </w:rPr>
      </w:pPr>
      <w:r>
        <w:rPr>
          <w:rFonts w:eastAsia="Calibri"/>
          <w:color w:val="0070C0"/>
          <w:sz w:val="22"/>
          <w:szCs w:val="22"/>
        </w:rPr>
        <w:t>F</w:t>
      </w:r>
      <w:r w:rsidR="006516DB" w:rsidRPr="008C57F2">
        <w:rPr>
          <w:rFonts w:eastAsia="Calibri"/>
          <w:color w:val="0070C0"/>
          <w:sz w:val="22"/>
          <w:szCs w:val="22"/>
        </w:rPr>
        <w:t xml:space="preserve">or module or TAST, please refer to the titles used in Annex II of the </w:t>
      </w:r>
      <w:hyperlink r:id="rId12" w:history="1">
        <w:r w:rsidR="006516DB" w:rsidRPr="008C57F2">
          <w:rPr>
            <w:rStyle w:val="Hyperlink"/>
            <w:rFonts w:eastAsia="Calibri"/>
            <w:color w:val="0070C0"/>
            <w:sz w:val="22"/>
            <w:szCs w:val="22"/>
          </w:rPr>
          <w:t>Implementing Rules Decision</w:t>
        </w:r>
      </w:hyperlink>
      <w:r w:rsidR="006516DB" w:rsidRPr="008C57F2">
        <w:rPr>
          <w:rFonts w:eastAsia="Calibri"/>
          <w:color w:val="0070C0"/>
          <w:sz w:val="22"/>
          <w:szCs w:val="22"/>
        </w:rPr>
        <w:t>; for other response capacities, please refer to the titles used in Annex III of the Implementing Rules Decision – where available</w:t>
      </w:r>
    </w:p>
    <w:p w14:paraId="1A5BB99D" w14:textId="77777777" w:rsidR="006516DB" w:rsidRPr="003167EC" w:rsidRDefault="006516DB" w:rsidP="006516DB">
      <w:pPr>
        <w:numPr>
          <w:ilvl w:val="0"/>
          <w:numId w:val="38"/>
        </w:numPr>
        <w:spacing w:after="200" w:line="276" w:lineRule="auto"/>
        <w:rPr>
          <w:rFonts w:eastAsia="Calibri"/>
          <w:color w:val="0070C0"/>
          <w:sz w:val="22"/>
          <w:szCs w:val="22"/>
        </w:rPr>
      </w:pPr>
      <w:r w:rsidRPr="003722B2">
        <w:rPr>
          <w:rFonts w:eastAsia="Calibri"/>
          <w:b/>
          <w:sz w:val="22"/>
          <w:szCs w:val="22"/>
          <w:u w:val="single"/>
        </w:rPr>
        <w:t>Self-assessment establishing that the asset fulfils the quality requirements</w:t>
      </w:r>
      <w:r w:rsidRPr="003722B2">
        <w:rPr>
          <w:rFonts w:eastAsia="Calibri"/>
          <w:sz w:val="22"/>
          <w:szCs w:val="22"/>
        </w:rPr>
        <w:t xml:space="preserve"> established for this type of asset: </w:t>
      </w:r>
      <w:r w:rsidRPr="003167EC">
        <w:rPr>
          <w:rFonts w:eastAsia="Calibri"/>
          <w:color w:val="0070C0"/>
          <w:sz w:val="22"/>
          <w:szCs w:val="22"/>
        </w:rPr>
        <w:t xml:space="preserve">for modules or TAST please fill in the table below (drawn up on the basis of the quality requirements set out in Annex II of the Implementing Rules Decision); for other response capacities please fill in the table with the relevant information for each field (i.e. tasks, capacities, main components, self-sufficiency, deployment). </w:t>
      </w:r>
    </w:p>
    <w:p w14:paraId="4BEC701C" w14:textId="77777777" w:rsidR="006516DB" w:rsidRPr="003167EC" w:rsidRDefault="006516DB" w:rsidP="006516DB">
      <w:pPr>
        <w:spacing w:after="200" w:line="276" w:lineRule="auto"/>
        <w:ind w:left="360"/>
        <w:rPr>
          <w:rFonts w:eastAsia="Calibri"/>
          <w:color w:val="0070C0"/>
          <w:sz w:val="22"/>
          <w:szCs w:val="22"/>
          <w:u w:val="single"/>
        </w:rPr>
      </w:pPr>
      <w:r w:rsidRPr="003167EC">
        <w:rPr>
          <w:rFonts w:eastAsia="Calibri"/>
          <w:color w:val="0070C0"/>
          <w:sz w:val="22"/>
          <w:szCs w:val="22"/>
          <w:u w:val="single"/>
        </w:rPr>
        <w:t xml:space="preserve">For offers put forward by more than one country (i.e. modules being available on a rotation basis), please fill in one table for each of the modules included in the arrangement.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3981"/>
        <w:gridCol w:w="2945"/>
      </w:tblGrid>
      <w:tr w:rsidR="006516DB" w:rsidRPr="003722B2" w14:paraId="6C1FC899" w14:textId="77777777" w:rsidTr="006516DB">
        <w:tc>
          <w:tcPr>
            <w:tcW w:w="1908" w:type="dxa"/>
            <w:shd w:val="clear" w:color="auto" w:fill="auto"/>
          </w:tcPr>
          <w:p w14:paraId="4895C53A"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Tasks</w:t>
            </w:r>
          </w:p>
        </w:tc>
        <w:tc>
          <w:tcPr>
            <w:tcW w:w="3981" w:type="dxa"/>
            <w:shd w:val="clear" w:color="auto" w:fill="auto"/>
          </w:tcPr>
          <w:p w14:paraId="34BC20DB" w14:textId="77777777" w:rsidR="006516DB" w:rsidRPr="003722B2" w:rsidRDefault="006516DB" w:rsidP="006516DB">
            <w:pPr>
              <w:spacing w:after="200" w:line="276" w:lineRule="auto"/>
              <w:rPr>
                <w:rFonts w:eastAsia="Calibri"/>
                <w:sz w:val="22"/>
                <w:szCs w:val="22"/>
              </w:rPr>
            </w:pPr>
            <w:r w:rsidRPr="003722B2">
              <w:rPr>
                <w:rFonts w:eastAsia="Calibri"/>
                <w:b/>
                <w:sz w:val="22"/>
                <w:szCs w:val="22"/>
              </w:rPr>
              <w:t>Yes</w:t>
            </w:r>
            <w:r w:rsidRPr="003722B2">
              <w:rPr>
                <w:rFonts w:eastAsia="Calibri"/>
                <w:sz w:val="22"/>
                <w:szCs w:val="22"/>
              </w:rPr>
              <w:t xml:space="preserve"> / </w:t>
            </w:r>
            <w:r w:rsidRPr="003722B2">
              <w:rPr>
                <w:rFonts w:eastAsia="Calibri"/>
                <w:b/>
                <w:sz w:val="22"/>
                <w:szCs w:val="22"/>
              </w:rPr>
              <w:t>No</w:t>
            </w:r>
            <w:r w:rsidRPr="003722B2">
              <w:rPr>
                <w:rFonts w:eastAsia="Calibri"/>
                <w:sz w:val="22"/>
                <w:szCs w:val="22"/>
              </w:rPr>
              <w:t xml:space="preserve"> (the module fulfils/does not fulfil the provisions of Annex II)</w:t>
            </w:r>
          </w:p>
        </w:tc>
        <w:tc>
          <w:tcPr>
            <w:tcW w:w="2945" w:type="dxa"/>
            <w:shd w:val="clear" w:color="auto" w:fill="auto"/>
          </w:tcPr>
          <w:p w14:paraId="304542C8"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Comments/Complementary info (if any)</w:t>
            </w:r>
          </w:p>
        </w:tc>
      </w:tr>
      <w:tr w:rsidR="006516DB" w:rsidRPr="003722B2" w14:paraId="6CD26FF9" w14:textId="77777777" w:rsidTr="006516DB">
        <w:tc>
          <w:tcPr>
            <w:tcW w:w="1908" w:type="dxa"/>
            <w:shd w:val="clear" w:color="auto" w:fill="auto"/>
          </w:tcPr>
          <w:p w14:paraId="1A5F7C89"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Capacities</w:t>
            </w:r>
          </w:p>
        </w:tc>
        <w:tc>
          <w:tcPr>
            <w:tcW w:w="3981" w:type="dxa"/>
            <w:shd w:val="clear" w:color="auto" w:fill="auto"/>
          </w:tcPr>
          <w:p w14:paraId="5C395D6C" w14:textId="77777777" w:rsidR="006516DB" w:rsidRPr="003722B2" w:rsidRDefault="006516DB" w:rsidP="006516DB">
            <w:pPr>
              <w:spacing w:after="200" w:line="276" w:lineRule="auto"/>
              <w:rPr>
                <w:rFonts w:eastAsia="Calibri"/>
                <w:sz w:val="22"/>
                <w:szCs w:val="22"/>
              </w:rPr>
            </w:pPr>
            <w:r w:rsidRPr="003722B2">
              <w:rPr>
                <w:rFonts w:eastAsia="Calibri"/>
                <w:b/>
                <w:sz w:val="22"/>
                <w:szCs w:val="22"/>
              </w:rPr>
              <w:t>Yes</w:t>
            </w:r>
            <w:r w:rsidRPr="003722B2">
              <w:rPr>
                <w:rFonts w:eastAsia="Calibri"/>
                <w:sz w:val="22"/>
                <w:szCs w:val="22"/>
              </w:rPr>
              <w:t xml:space="preserve"> / </w:t>
            </w:r>
            <w:r w:rsidRPr="003722B2">
              <w:rPr>
                <w:rFonts w:eastAsia="Calibri"/>
                <w:b/>
                <w:sz w:val="22"/>
                <w:szCs w:val="22"/>
              </w:rPr>
              <w:t>No</w:t>
            </w:r>
            <w:r w:rsidRPr="003722B2">
              <w:rPr>
                <w:rFonts w:eastAsia="Calibri"/>
                <w:sz w:val="22"/>
                <w:szCs w:val="22"/>
              </w:rPr>
              <w:t xml:space="preserve"> (the module fulfils/does not fulfil the provisions of Annex II)</w:t>
            </w:r>
          </w:p>
        </w:tc>
        <w:tc>
          <w:tcPr>
            <w:tcW w:w="2945" w:type="dxa"/>
            <w:shd w:val="clear" w:color="auto" w:fill="auto"/>
          </w:tcPr>
          <w:p w14:paraId="1FC1E748"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Comments/Complementary info (if any)</w:t>
            </w:r>
          </w:p>
        </w:tc>
      </w:tr>
      <w:tr w:rsidR="006516DB" w:rsidRPr="003722B2" w14:paraId="3F075B1E" w14:textId="77777777" w:rsidTr="006516DB">
        <w:tc>
          <w:tcPr>
            <w:tcW w:w="1908" w:type="dxa"/>
            <w:shd w:val="clear" w:color="auto" w:fill="auto"/>
          </w:tcPr>
          <w:p w14:paraId="601E93D9"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Main components</w:t>
            </w:r>
          </w:p>
        </w:tc>
        <w:tc>
          <w:tcPr>
            <w:tcW w:w="3981" w:type="dxa"/>
            <w:shd w:val="clear" w:color="auto" w:fill="auto"/>
          </w:tcPr>
          <w:p w14:paraId="101AD75B" w14:textId="77777777" w:rsidR="006516DB" w:rsidRPr="003722B2" w:rsidRDefault="006516DB" w:rsidP="006516DB">
            <w:pPr>
              <w:spacing w:after="200" w:line="276" w:lineRule="auto"/>
              <w:rPr>
                <w:rFonts w:eastAsia="Calibri"/>
                <w:sz w:val="22"/>
                <w:szCs w:val="22"/>
              </w:rPr>
            </w:pPr>
            <w:r w:rsidRPr="003722B2">
              <w:rPr>
                <w:rFonts w:eastAsia="Calibri"/>
                <w:b/>
                <w:sz w:val="22"/>
                <w:szCs w:val="22"/>
              </w:rPr>
              <w:t>Yes</w:t>
            </w:r>
            <w:r w:rsidRPr="003722B2">
              <w:rPr>
                <w:rFonts w:eastAsia="Calibri"/>
                <w:sz w:val="22"/>
                <w:szCs w:val="22"/>
              </w:rPr>
              <w:t xml:space="preserve"> / </w:t>
            </w:r>
            <w:r w:rsidRPr="003722B2">
              <w:rPr>
                <w:rFonts w:eastAsia="Calibri"/>
                <w:b/>
                <w:sz w:val="22"/>
                <w:szCs w:val="22"/>
              </w:rPr>
              <w:t>No</w:t>
            </w:r>
            <w:r w:rsidRPr="003722B2">
              <w:rPr>
                <w:rFonts w:eastAsia="Calibri"/>
                <w:sz w:val="22"/>
                <w:szCs w:val="22"/>
              </w:rPr>
              <w:t xml:space="preserve"> (the module fulfils/does not fulfil the provisions of Annex II)</w:t>
            </w:r>
          </w:p>
        </w:tc>
        <w:tc>
          <w:tcPr>
            <w:tcW w:w="2945" w:type="dxa"/>
            <w:shd w:val="clear" w:color="auto" w:fill="auto"/>
          </w:tcPr>
          <w:p w14:paraId="70C48AA2"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Comments/Complementary info (if any)</w:t>
            </w:r>
          </w:p>
        </w:tc>
      </w:tr>
      <w:tr w:rsidR="006516DB" w:rsidRPr="003722B2" w14:paraId="3BD58AB3" w14:textId="77777777" w:rsidTr="006516DB">
        <w:tc>
          <w:tcPr>
            <w:tcW w:w="1908" w:type="dxa"/>
            <w:shd w:val="clear" w:color="auto" w:fill="auto"/>
          </w:tcPr>
          <w:p w14:paraId="183F67E4"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Self-sufficiency</w:t>
            </w:r>
          </w:p>
        </w:tc>
        <w:tc>
          <w:tcPr>
            <w:tcW w:w="3981" w:type="dxa"/>
            <w:shd w:val="clear" w:color="auto" w:fill="auto"/>
          </w:tcPr>
          <w:p w14:paraId="53814F13" w14:textId="77777777" w:rsidR="006516DB" w:rsidRPr="003722B2" w:rsidRDefault="006516DB" w:rsidP="006516DB">
            <w:pPr>
              <w:spacing w:after="200" w:line="276" w:lineRule="auto"/>
              <w:rPr>
                <w:rFonts w:eastAsia="Calibri"/>
                <w:sz w:val="22"/>
                <w:szCs w:val="22"/>
              </w:rPr>
            </w:pPr>
            <w:r w:rsidRPr="003722B2">
              <w:rPr>
                <w:rFonts w:eastAsia="Calibri"/>
                <w:b/>
                <w:sz w:val="22"/>
                <w:szCs w:val="22"/>
              </w:rPr>
              <w:t>Yes</w:t>
            </w:r>
            <w:r w:rsidRPr="003722B2">
              <w:rPr>
                <w:rFonts w:eastAsia="Calibri"/>
                <w:sz w:val="22"/>
                <w:szCs w:val="22"/>
              </w:rPr>
              <w:t xml:space="preserve"> / </w:t>
            </w:r>
            <w:r w:rsidRPr="003722B2">
              <w:rPr>
                <w:rFonts w:eastAsia="Calibri"/>
                <w:b/>
                <w:sz w:val="22"/>
                <w:szCs w:val="22"/>
              </w:rPr>
              <w:t>No</w:t>
            </w:r>
            <w:r w:rsidRPr="003722B2">
              <w:rPr>
                <w:rFonts w:eastAsia="Calibri"/>
                <w:sz w:val="22"/>
                <w:szCs w:val="22"/>
              </w:rPr>
              <w:t xml:space="preserve"> (the module fulfils/does not fulfil the provisions of Annex II)</w:t>
            </w:r>
          </w:p>
        </w:tc>
        <w:tc>
          <w:tcPr>
            <w:tcW w:w="2945" w:type="dxa"/>
            <w:shd w:val="clear" w:color="auto" w:fill="auto"/>
          </w:tcPr>
          <w:p w14:paraId="22C35D0D"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Comments/Complementary info (if any)</w:t>
            </w:r>
          </w:p>
        </w:tc>
      </w:tr>
      <w:tr w:rsidR="006516DB" w:rsidRPr="003722B2" w14:paraId="21C65CD5" w14:textId="77777777" w:rsidTr="006516DB">
        <w:tc>
          <w:tcPr>
            <w:tcW w:w="1908" w:type="dxa"/>
            <w:shd w:val="clear" w:color="auto" w:fill="auto"/>
          </w:tcPr>
          <w:p w14:paraId="0A36B9BD" w14:textId="77777777" w:rsidR="006516DB" w:rsidRPr="003722B2" w:rsidRDefault="006516DB" w:rsidP="006516DB">
            <w:pPr>
              <w:spacing w:after="200" w:line="276" w:lineRule="auto"/>
              <w:rPr>
                <w:rFonts w:eastAsia="Calibri"/>
                <w:sz w:val="22"/>
                <w:szCs w:val="22"/>
              </w:rPr>
            </w:pPr>
            <w:r w:rsidRPr="003722B2">
              <w:rPr>
                <w:rFonts w:eastAsia="Calibri"/>
                <w:sz w:val="22"/>
                <w:szCs w:val="22"/>
              </w:rPr>
              <w:t>Deployment</w:t>
            </w:r>
          </w:p>
        </w:tc>
        <w:tc>
          <w:tcPr>
            <w:tcW w:w="3981" w:type="dxa"/>
            <w:shd w:val="clear" w:color="auto" w:fill="auto"/>
          </w:tcPr>
          <w:p w14:paraId="708050CA" w14:textId="77777777" w:rsidR="006516DB" w:rsidRPr="003722B2" w:rsidRDefault="006516DB" w:rsidP="006516DB">
            <w:pPr>
              <w:spacing w:after="200" w:line="276" w:lineRule="auto"/>
              <w:rPr>
                <w:rFonts w:eastAsia="Calibri"/>
                <w:sz w:val="22"/>
                <w:szCs w:val="22"/>
              </w:rPr>
            </w:pPr>
            <w:r w:rsidRPr="003722B2">
              <w:rPr>
                <w:rFonts w:eastAsia="Calibri"/>
                <w:b/>
                <w:sz w:val="22"/>
                <w:szCs w:val="22"/>
              </w:rPr>
              <w:t>Yes</w:t>
            </w:r>
            <w:r w:rsidRPr="003722B2">
              <w:rPr>
                <w:rFonts w:eastAsia="Calibri"/>
                <w:sz w:val="22"/>
                <w:szCs w:val="22"/>
              </w:rPr>
              <w:t xml:space="preserve"> / </w:t>
            </w:r>
            <w:r w:rsidRPr="003722B2">
              <w:rPr>
                <w:rFonts w:eastAsia="Calibri"/>
                <w:b/>
                <w:sz w:val="22"/>
                <w:szCs w:val="22"/>
              </w:rPr>
              <w:t>No</w:t>
            </w:r>
            <w:r w:rsidRPr="003722B2">
              <w:rPr>
                <w:rFonts w:eastAsia="Calibri"/>
                <w:sz w:val="22"/>
                <w:szCs w:val="22"/>
              </w:rPr>
              <w:t xml:space="preserve"> (the module fulfils/does not </w:t>
            </w:r>
            <w:r w:rsidRPr="003722B2">
              <w:rPr>
                <w:rFonts w:eastAsia="Calibri"/>
                <w:sz w:val="22"/>
                <w:szCs w:val="22"/>
              </w:rPr>
              <w:lastRenderedPageBreak/>
              <w:t>fulfil the provisions of Annex II)</w:t>
            </w:r>
          </w:p>
        </w:tc>
        <w:tc>
          <w:tcPr>
            <w:tcW w:w="2945" w:type="dxa"/>
            <w:shd w:val="clear" w:color="auto" w:fill="auto"/>
          </w:tcPr>
          <w:p w14:paraId="05A83A04" w14:textId="77777777" w:rsidR="006516DB" w:rsidRPr="003722B2" w:rsidRDefault="006516DB" w:rsidP="006516DB">
            <w:pPr>
              <w:spacing w:after="200" w:line="276" w:lineRule="auto"/>
              <w:rPr>
                <w:rFonts w:eastAsia="Calibri"/>
                <w:sz w:val="22"/>
                <w:szCs w:val="22"/>
              </w:rPr>
            </w:pPr>
            <w:r w:rsidRPr="003722B2">
              <w:rPr>
                <w:rFonts w:eastAsia="Calibri"/>
                <w:sz w:val="22"/>
                <w:szCs w:val="22"/>
              </w:rPr>
              <w:lastRenderedPageBreak/>
              <w:t xml:space="preserve">Comments/Complementary </w:t>
            </w:r>
            <w:r w:rsidRPr="003722B2">
              <w:rPr>
                <w:rFonts w:eastAsia="Calibri"/>
                <w:sz w:val="22"/>
                <w:szCs w:val="22"/>
              </w:rPr>
              <w:lastRenderedPageBreak/>
              <w:t>info (if any)</w:t>
            </w:r>
          </w:p>
        </w:tc>
      </w:tr>
    </w:tbl>
    <w:p w14:paraId="51E425C1" w14:textId="77777777" w:rsidR="006516DB" w:rsidRPr="003722B2" w:rsidRDefault="006516DB" w:rsidP="006516DB">
      <w:pPr>
        <w:spacing w:after="200" w:line="276" w:lineRule="auto"/>
        <w:ind w:left="360"/>
        <w:rPr>
          <w:rFonts w:eastAsia="Calibri"/>
          <w:sz w:val="22"/>
          <w:szCs w:val="22"/>
        </w:rPr>
      </w:pPr>
    </w:p>
    <w:p w14:paraId="388936CE" w14:textId="77777777" w:rsidR="006516DB" w:rsidRPr="003722B2" w:rsidRDefault="006516DB" w:rsidP="006516DB">
      <w:pPr>
        <w:numPr>
          <w:ilvl w:val="0"/>
          <w:numId w:val="38"/>
        </w:numPr>
        <w:spacing w:after="200" w:line="276" w:lineRule="auto"/>
        <w:rPr>
          <w:rFonts w:eastAsia="Calibri"/>
          <w:i/>
          <w:sz w:val="22"/>
          <w:szCs w:val="22"/>
        </w:rPr>
      </w:pPr>
      <w:r w:rsidRPr="003722B2">
        <w:rPr>
          <w:rFonts w:eastAsia="Calibri"/>
          <w:b/>
          <w:sz w:val="22"/>
          <w:szCs w:val="22"/>
        </w:rPr>
        <w:t>Factsheet</w:t>
      </w:r>
      <w:r w:rsidRPr="003722B2">
        <w:rPr>
          <w:rFonts w:eastAsia="Calibri"/>
          <w:sz w:val="22"/>
          <w:szCs w:val="22"/>
        </w:rPr>
        <w:t xml:space="preserve"> of the module, including technical assistance and support team, other response capacity: </w:t>
      </w:r>
      <w:r w:rsidRPr="008C57F2">
        <w:rPr>
          <w:rFonts w:eastAsia="Calibri"/>
          <w:color w:val="0070C0"/>
          <w:sz w:val="22"/>
          <w:szCs w:val="22"/>
        </w:rPr>
        <w:t>Please attach or copy below the CECIS factsheet filled-in, for each of the modules offered, in case of modules offered by more than one country (see CECIS for the updated templates for factsheets).</w:t>
      </w:r>
      <w:r w:rsidRPr="008C57F2">
        <w:rPr>
          <w:rFonts w:eastAsia="Calibri"/>
          <w:i/>
          <w:color w:val="0070C0"/>
          <w:sz w:val="22"/>
          <w:szCs w:val="22"/>
        </w:rPr>
        <w:t xml:space="preserve">  </w:t>
      </w:r>
    </w:p>
    <w:p w14:paraId="03084093" w14:textId="3E9BB9A9" w:rsidR="006516DB" w:rsidRPr="008C57F2" w:rsidRDefault="006516DB" w:rsidP="006516DB">
      <w:pPr>
        <w:numPr>
          <w:ilvl w:val="0"/>
          <w:numId w:val="38"/>
        </w:numPr>
        <w:spacing w:after="200" w:line="276" w:lineRule="auto"/>
        <w:rPr>
          <w:rFonts w:eastAsia="Calibri"/>
          <w:color w:val="0070C0"/>
          <w:sz w:val="22"/>
          <w:szCs w:val="22"/>
        </w:rPr>
      </w:pPr>
      <w:r w:rsidRPr="003722B2">
        <w:rPr>
          <w:rFonts w:eastAsia="Calibri"/>
          <w:sz w:val="22"/>
          <w:szCs w:val="22"/>
        </w:rPr>
        <w:t xml:space="preserve">Confirmation of necessary arrangements put in place to ensure the </w:t>
      </w:r>
      <w:r w:rsidRPr="003722B2">
        <w:rPr>
          <w:rFonts w:eastAsia="Calibri"/>
          <w:b/>
          <w:sz w:val="22"/>
          <w:szCs w:val="22"/>
          <w:u w:val="single"/>
        </w:rPr>
        <w:t>relevant authority and national contact points are continuously capable to handle without delay requests for deployment</w:t>
      </w:r>
      <w:r w:rsidRPr="003722B2">
        <w:rPr>
          <w:rFonts w:eastAsia="Calibri"/>
          <w:sz w:val="22"/>
          <w:szCs w:val="22"/>
        </w:rPr>
        <w:t xml:space="preserve"> with regard to their assets registered in the </w:t>
      </w:r>
      <w:r w:rsidR="00587633" w:rsidRPr="003722B2">
        <w:rPr>
          <w:rFonts w:eastAsia="Calibri"/>
          <w:sz w:val="22"/>
          <w:szCs w:val="22"/>
        </w:rPr>
        <w:t>E</w:t>
      </w:r>
      <w:r w:rsidR="00587633">
        <w:rPr>
          <w:rFonts w:eastAsia="Calibri"/>
          <w:sz w:val="22"/>
          <w:szCs w:val="22"/>
        </w:rPr>
        <w:t>CPP</w:t>
      </w:r>
      <w:r w:rsidRPr="003722B2">
        <w:rPr>
          <w:rFonts w:eastAsia="Calibri"/>
          <w:sz w:val="22"/>
          <w:szCs w:val="22"/>
        </w:rPr>
        <w:t xml:space="preserve">. </w:t>
      </w:r>
      <w:r w:rsidRPr="008C57F2">
        <w:rPr>
          <w:rFonts w:eastAsia="Calibri"/>
          <w:color w:val="0070C0"/>
          <w:sz w:val="22"/>
          <w:szCs w:val="22"/>
        </w:rPr>
        <w:t xml:space="preserve">Please confirm that these arrangements have been put into place and, to the extent possible, provide explanation on these arrangements. </w:t>
      </w:r>
    </w:p>
    <w:p w14:paraId="6EA202AB" w14:textId="77777777" w:rsidR="006516DB" w:rsidRPr="008C57F2" w:rsidRDefault="006516DB" w:rsidP="006516DB">
      <w:pPr>
        <w:spacing w:after="200" w:line="276" w:lineRule="auto"/>
        <w:ind w:left="360"/>
        <w:rPr>
          <w:rFonts w:eastAsia="Calibri"/>
          <w:sz w:val="22"/>
          <w:szCs w:val="22"/>
        </w:rPr>
      </w:pPr>
      <w:r w:rsidRPr="008C57F2">
        <w:rPr>
          <w:rFonts w:eastAsia="Calibri"/>
          <w:color w:val="0070C0"/>
          <w:sz w:val="22"/>
          <w:szCs w:val="22"/>
        </w:rPr>
        <w:t xml:space="preserve">For modules offered by more than one country, it is recommended to </w:t>
      </w:r>
      <w:r w:rsidRPr="008C57F2">
        <w:rPr>
          <w:rFonts w:eastAsia="Calibri"/>
          <w:color w:val="0070C0"/>
          <w:sz w:val="22"/>
          <w:szCs w:val="22"/>
          <w:u w:val="single"/>
        </w:rPr>
        <w:t>appoint a single point of contact for the Emergency Response Coordination Centre (ERCC)</w:t>
      </w:r>
      <w:r w:rsidRPr="008C57F2">
        <w:rPr>
          <w:rFonts w:eastAsia="Calibri"/>
          <w:color w:val="0070C0"/>
          <w:sz w:val="22"/>
          <w:szCs w:val="22"/>
        </w:rPr>
        <w:t xml:space="preserve"> and put in place arrangements allowing this single point of contact to convey the request to the module on stand-by. </w:t>
      </w:r>
    </w:p>
    <w:p w14:paraId="584D4DF6" w14:textId="661EBEB0" w:rsidR="006516DB" w:rsidRPr="003722B2" w:rsidRDefault="006516DB" w:rsidP="006516DB">
      <w:pPr>
        <w:numPr>
          <w:ilvl w:val="0"/>
          <w:numId w:val="38"/>
        </w:numPr>
        <w:spacing w:after="200" w:line="276" w:lineRule="auto"/>
        <w:rPr>
          <w:rFonts w:eastAsia="Calibri"/>
          <w:sz w:val="22"/>
          <w:szCs w:val="22"/>
        </w:rPr>
      </w:pPr>
      <w:r w:rsidRPr="003722B2">
        <w:rPr>
          <w:rFonts w:eastAsia="Calibri"/>
          <w:sz w:val="22"/>
          <w:szCs w:val="22"/>
        </w:rPr>
        <w:t xml:space="preserve">Confirmation that all necessary measures have been taken, including the </w:t>
      </w:r>
      <w:r w:rsidRPr="003722B2">
        <w:rPr>
          <w:rFonts w:eastAsia="Calibri"/>
          <w:sz w:val="22"/>
          <w:szCs w:val="22"/>
          <w:u w:val="single"/>
        </w:rPr>
        <w:t xml:space="preserve">necessary financing and logistical arrangements, to ensure that the asset registered in the </w:t>
      </w:r>
      <w:r w:rsidR="00587633" w:rsidRPr="003722B2">
        <w:rPr>
          <w:rFonts w:eastAsia="Calibri"/>
          <w:sz w:val="22"/>
          <w:szCs w:val="22"/>
          <w:u w:val="single"/>
        </w:rPr>
        <w:t>E</w:t>
      </w:r>
      <w:r w:rsidR="00587633">
        <w:rPr>
          <w:rFonts w:eastAsia="Calibri"/>
          <w:sz w:val="22"/>
          <w:szCs w:val="22"/>
          <w:u w:val="single"/>
        </w:rPr>
        <w:t>CPP</w:t>
      </w:r>
      <w:r w:rsidR="00587633" w:rsidRPr="003722B2">
        <w:rPr>
          <w:rFonts w:eastAsia="Calibri"/>
          <w:sz w:val="22"/>
          <w:szCs w:val="22"/>
          <w:u w:val="single"/>
        </w:rPr>
        <w:t xml:space="preserve"> </w:t>
      </w:r>
      <w:r w:rsidRPr="003722B2">
        <w:rPr>
          <w:rFonts w:eastAsia="Calibri"/>
          <w:sz w:val="22"/>
          <w:szCs w:val="22"/>
          <w:u w:val="single"/>
        </w:rPr>
        <w:t>can be deployed immediately</w:t>
      </w:r>
      <w:r w:rsidRPr="003722B2">
        <w:rPr>
          <w:rFonts w:eastAsia="Calibri"/>
          <w:sz w:val="22"/>
          <w:szCs w:val="22"/>
        </w:rPr>
        <w:t xml:space="preserve"> following an invitation to deploy by the Commission.</w:t>
      </w:r>
    </w:p>
    <w:p w14:paraId="28B4C03E" w14:textId="5C2EB9EF" w:rsidR="006516DB" w:rsidRPr="008C57F2" w:rsidRDefault="006516DB" w:rsidP="006516DB">
      <w:pPr>
        <w:spacing w:after="200" w:line="276" w:lineRule="auto"/>
        <w:ind w:left="360"/>
        <w:rPr>
          <w:rFonts w:eastAsia="Calibri"/>
          <w:color w:val="0070C0"/>
          <w:sz w:val="22"/>
          <w:szCs w:val="22"/>
        </w:rPr>
      </w:pPr>
      <w:r w:rsidRPr="008C57F2">
        <w:rPr>
          <w:rFonts w:eastAsia="Calibri"/>
          <w:color w:val="0070C0"/>
          <w:sz w:val="22"/>
          <w:szCs w:val="22"/>
        </w:rPr>
        <w:t>Please confirm that the necessary arrangements have been put in place to finance any costs related to the deployment and operation of the asset</w:t>
      </w:r>
      <w:r w:rsidR="006968FA">
        <w:rPr>
          <w:rStyle w:val="FootnoteReference"/>
          <w:rFonts w:eastAsia="Calibri"/>
          <w:color w:val="0070C0"/>
          <w:sz w:val="22"/>
          <w:szCs w:val="22"/>
        </w:rPr>
        <w:footnoteReference w:id="2"/>
      </w:r>
      <w:r w:rsidRPr="008C57F2">
        <w:rPr>
          <w:rFonts w:eastAsia="Calibri"/>
          <w:color w:val="0070C0"/>
          <w:sz w:val="22"/>
          <w:szCs w:val="22"/>
        </w:rPr>
        <w:t xml:space="preserve">, in order to allow for an availability of departure of maximum 12 hours after the acceptance of the offer – see point 8 below (for all assets concerned – if the asset is available on a rotation basis). </w:t>
      </w:r>
    </w:p>
    <w:p w14:paraId="393FD740" w14:textId="00CA7185" w:rsidR="006516DB" w:rsidRPr="003722B2" w:rsidRDefault="006516DB" w:rsidP="006516DB">
      <w:pPr>
        <w:spacing w:after="200" w:line="276" w:lineRule="auto"/>
        <w:ind w:left="360"/>
        <w:rPr>
          <w:rFonts w:eastAsia="Calibri"/>
          <w:i/>
          <w:sz w:val="22"/>
          <w:szCs w:val="22"/>
        </w:rPr>
      </w:pPr>
      <w:r w:rsidRPr="008C57F2">
        <w:rPr>
          <w:rFonts w:eastAsia="Calibri"/>
          <w:color w:val="0070C0"/>
          <w:sz w:val="22"/>
          <w:szCs w:val="22"/>
        </w:rPr>
        <w:t>A description of the measures taken with respect to logistical arrangements should also be provided. These arrangements could include: agreements with airline companies (for assets that can be transported by air) or reliance on the Commission's transport contractor / broker</w:t>
      </w:r>
      <w:r w:rsidR="006968FA">
        <w:rPr>
          <w:rFonts w:eastAsia="Calibri"/>
          <w:color w:val="0070C0"/>
          <w:sz w:val="22"/>
          <w:szCs w:val="22"/>
        </w:rPr>
        <w:t>,</w:t>
      </w:r>
      <w:r w:rsidRPr="008C57F2">
        <w:rPr>
          <w:rFonts w:eastAsia="Calibri"/>
          <w:color w:val="0070C0"/>
          <w:sz w:val="22"/>
          <w:szCs w:val="22"/>
        </w:rPr>
        <w:t xml:space="preserve"> ad-hoc arrangements, etc. (for all assets concerned – if the asset is available on a rotation basis).</w:t>
      </w:r>
      <w:r w:rsidRPr="008C57F2">
        <w:rPr>
          <w:rFonts w:eastAsia="Calibri"/>
          <w:i/>
          <w:color w:val="0070C0"/>
          <w:sz w:val="22"/>
          <w:szCs w:val="22"/>
        </w:rPr>
        <w:t xml:space="preserve">  </w:t>
      </w:r>
    </w:p>
    <w:p w14:paraId="61318C16" w14:textId="7D8B1398"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 xml:space="preserve">Exact duration of the pre-commitment in the </w:t>
      </w:r>
      <w:r w:rsidR="00587633" w:rsidRPr="003722B2">
        <w:rPr>
          <w:rFonts w:eastAsia="Calibri"/>
          <w:b/>
          <w:sz w:val="22"/>
          <w:szCs w:val="22"/>
          <w:u w:val="single"/>
        </w:rPr>
        <w:t>E</w:t>
      </w:r>
      <w:r w:rsidR="00587633">
        <w:rPr>
          <w:rFonts w:eastAsia="Calibri"/>
          <w:b/>
          <w:sz w:val="22"/>
          <w:szCs w:val="22"/>
          <w:u w:val="single"/>
        </w:rPr>
        <w:t>CPP</w:t>
      </w:r>
      <w:r w:rsidR="00587633" w:rsidRPr="003722B2">
        <w:rPr>
          <w:rFonts w:eastAsia="Calibri"/>
          <w:sz w:val="22"/>
          <w:szCs w:val="22"/>
        </w:rPr>
        <w:t xml:space="preserve"> </w:t>
      </w:r>
      <w:r w:rsidRPr="008C57F2">
        <w:rPr>
          <w:rFonts w:eastAsia="Calibri"/>
          <w:color w:val="0070C0"/>
          <w:sz w:val="22"/>
          <w:szCs w:val="22"/>
        </w:rPr>
        <w:t xml:space="preserve">[minimum one year, maximum </w:t>
      </w:r>
      <w:r w:rsidR="00EE5E3D">
        <w:rPr>
          <w:rFonts w:eastAsia="Calibri"/>
          <w:color w:val="0070C0"/>
          <w:sz w:val="22"/>
          <w:szCs w:val="22"/>
        </w:rPr>
        <w:t>three</w:t>
      </w:r>
      <w:r w:rsidR="006968FA" w:rsidRPr="008C57F2">
        <w:rPr>
          <w:rFonts w:eastAsia="Calibri"/>
          <w:color w:val="0070C0"/>
          <w:sz w:val="22"/>
          <w:szCs w:val="22"/>
        </w:rPr>
        <w:t xml:space="preserve"> </w:t>
      </w:r>
      <w:r w:rsidRPr="008C57F2">
        <w:rPr>
          <w:rFonts w:eastAsia="Calibri"/>
          <w:color w:val="0070C0"/>
          <w:sz w:val="22"/>
          <w:szCs w:val="22"/>
        </w:rPr>
        <w:t>years].</w:t>
      </w:r>
      <w:r w:rsidRPr="003722B2">
        <w:rPr>
          <w:rFonts w:eastAsia="Calibri"/>
          <w:sz w:val="22"/>
          <w:szCs w:val="22"/>
        </w:rPr>
        <w:t xml:space="preserve"> </w:t>
      </w:r>
    </w:p>
    <w:p w14:paraId="44D82007" w14:textId="77777777" w:rsidR="006516DB" w:rsidRPr="008C57F2" w:rsidRDefault="006516DB" w:rsidP="006516DB">
      <w:pPr>
        <w:numPr>
          <w:ilvl w:val="0"/>
          <w:numId w:val="38"/>
        </w:numPr>
        <w:spacing w:after="200" w:line="276" w:lineRule="auto"/>
        <w:rPr>
          <w:rFonts w:eastAsia="Calibri"/>
          <w:color w:val="0070C0"/>
          <w:sz w:val="22"/>
          <w:szCs w:val="22"/>
        </w:rPr>
      </w:pPr>
      <w:r w:rsidRPr="003722B2">
        <w:rPr>
          <w:rFonts w:eastAsia="Calibri"/>
          <w:sz w:val="22"/>
          <w:szCs w:val="22"/>
        </w:rPr>
        <w:t xml:space="preserve">Information on the </w:t>
      </w:r>
      <w:r w:rsidRPr="003722B2">
        <w:rPr>
          <w:rFonts w:eastAsia="Calibri"/>
          <w:b/>
          <w:sz w:val="22"/>
          <w:szCs w:val="22"/>
          <w:u w:val="single"/>
        </w:rPr>
        <w:t>guaranteed time of availability for departure</w:t>
      </w:r>
      <w:r w:rsidRPr="003722B2">
        <w:rPr>
          <w:rFonts w:eastAsia="Calibri"/>
          <w:sz w:val="22"/>
          <w:szCs w:val="22"/>
        </w:rPr>
        <w:t xml:space="preserve"> </w:t>
      </w:r>
      <w:r w:rsidRPr="008C57F2">
        <w:rPr>
          <w:rFonts w:eastAsia="Calibri"/>
          <w:color w:val="0070C0"/>
          <w:sz w:val="22"/>
          <w:szCs w:val="22"/>
        </w:rPr>
        <w:t xml:space="preserve">[maximum 12 hours after the acceptance of the offer]: … </w:t>
      </w:r>
    </w:p>
    <w:p w14:paraId="325185EF"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The geographic location of the asset, the indicative location of mobilisation</w:t>
      </w:r>
      <w:r w:rsidRPr="003722B2">
        <w:rPr>
          <w:rFonts w:eastAsia="Calibri"/>
          <w:sz w:val="22"/>
          <w:szCs w:val="22"/>
        </w:rPr>
        <w:t xml:space="preserve"> (airport etc.), the normal geographic scope of deployment, as well as geographic restrictions, if any. </w:t>
      </w:r>
    </w:p>
    <w:p w14:paraId="7C8BF00C" w14:textId="0307E166" w:rsidR="006516DB" w:rsidRDefault="006516DB" w:rsidP="006516DB">
      <w:pPr>
        <w:spacing w:after="200" w:line="276" w:lineRule="auto"/>
        <w:ind w:left="360"/>
        <w:rPr>
          <w:rFonts w:eastAsia="Calibri"/>
          <w:color w:val="0070C0"/>
          <w:sz w:val="22"/>
          <w:szCs w:val="22"/>
        </w:rPr>
      </w:pPr>
      <w:r w:rsidRPr="008C57F2">
        <w:rPr>
          <w:rFonts w:eastAsia="Calibri"/>
          <w:color w:val="0070C0"/>
          <w:sz w:val="22"/>
          <w:szCs w:val="22"/>
        </w:rPr>
        <w:t>This should be indicated for each of the modules, in case of modules put forward by more than one country on a rotation basis.</w:t>
      </w:r>
    </w:p>
    <w:p w14:paraId="605EA735" w14:textId="77777777" w:rsidR="006968FA" w:rsidRPr="008C57F2" w:rsidRDefault="006968FA" w:rsidP="006516DB">
      <w:pPr>
        <w:spacing w:after="200" w:line="276" w:lineRule="auto"/>
        <w:ind w:left="360"/>
        <w:rPr>
          <w:rFonts w:eastAsia="Calibri"/>
          <w:color w:val="0070C0"/>
          <w:sz w:val="22"/>
          <w:szCs w:val="22"/>
        </w:rPr>
      </w:pPr>
    </w:p>
    <w:p w14:paraId="1F84EE7A"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Standard Operating Procedures of the module</w:t>
      </w:r>
      <w:r w:rsidRPr="003722B2">
        <w:rPr>
          <w:rFonts w:eastAsia="Calibri"/>
          <w:sz w:val="22"/>
          <w:szCs w:val="22"/>
        </w:rPr>
        <w:t xml:space="preserve">, including technical assistance and support team, or other response capacity. </w:t>
      </w:r>
    </w:p>
    <w:p w14:paraId="49BD8A5F" w14:textId="413EA45F" w:rsidR="006516DB" w:rsidRPr="008C57F2" w:rsidRDefault="006516DB" w:rsidP="006516DB">
      <w:pPr>
        <w:spacing w:after="200" w:line="276" w:lineRule="auto"/>
        <w:ind w:left="360"/>
        <w:rPr>
          <w:rFonts w:eastAsia="Calibri"/>
          <w:sz w:val="22"/>
          <w:szCs w:val="22"/>
        </w:rPr>
      </w:pPr>
      <w:r w:rsidRPr="008C57F2">
        <w:rPr>
          <w:rFonts w:eastAsia="Calibri"/>
          <w:color w:val="0070C0"/>
          <w:sz w:val="22"/>
          <w:szCs w:val="22"/>
        </w:rPr>
        <w:t>The SOPs of the m</w:t>
      </w:r>
      <w:r>
        <w:rPr>
          <w:rFonts w:eastAsia="Calibri"/>
          <w:color w:val="0070C0"/>
          <w:sz w:val="22"/>
          <w:szCs w:val="22"/>
        </w:rPr>
        <w:t xml:space="preserve">odule </w:t>
      </w:r>
      <w:r w:rsidR="006968FA">
        <w:rPr>
          <w:rFonts w:eastAsia="Calibri"/>
          <w:color w:val="0070C0"/>
          <w:sz w:val="22"/>
          <w:szCs w:val="22"/>
        </w:rPr>
        <w:t>(</w:t>
      </w:r>
      <w:r w:rsidR="006968FA" w:rsidRPr="006968FA">
        <w:rPr>
          <w:rFonts w:eastAsia="Calibri"/>
          <w:color w:val="0070C0"/>
          <w:sz w:val="22"/>
          <w:szCs w:val="22"/>
        </w:rPr>
        <w:t>available in English</w:t>
      </w:r>
      <w:r w:rsidR="006968FA">
        <w:rPr>
          <w:rFonts w:eastAsia="Calibri"/>
          <w:color w:val="0070C0"/>
          <w:sz w:val="22"/>
          <w:szCs w:val="22"/>
        </w:rPr>
        <w:t xml:space="preserve">) </w:t>
      </w:r>
      <w:r>
        <w:rPr>
          <w:rFonts w:eastAsia="Calibri"/>
          <w:color w:val="0070C0"/>
          <w:sz w:val="22"/>
          <w:szCs w:val="22"/>
        </w:rPr>
        <w:t xml:space="preserve">should be attached to this application </w:t>
      </w:r>
      <w:r w:rsidRPr="008C57F2">
        <w:rPr>
          <w:rFonts w:eastAsia="Calibri"/>
          <w:color w:val="0070C0"/>
          <w:sz w:val="22"/>
          <w:szCs w:val="22"/>
        </w:rPr>
        <w:t xml:space="preserve">as such. They have to be in line with the available Modules SOPs Guidelines developed under the Union Civil Protection Mechanism (the guidelines can be downloaded from CECIS).  </w:t>
      </w:r>
    </w:p>
    <w:p w14:paraId="0772465E"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All relevant transport handling information</w:t>
      </w:r>
      <w:r w:rsidRPr="003722B2">
        <w:rPr>
          <w:rFonts w:eastAsia="Calibri"/>
          <w:sz w:val="22"/>
          <w:szCs w:val="22"/>
        </w:rPr>
        <w:t xml:space="preserve">, such as measures, weights, flight restrictions etc., preferred modes of transport; if relevant: access to harbours. </w:t>
      </w:r>
    </w:p>
    <w:p w14:paraId="46022E2F"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sz w:val="22"/>
          <w:szCs w:val="22"/>
        </w:rPr>
        <w:t xml:space="preserve">Any other </w:t>
      </w:r>
      <w:r w:rsidRPr="003722B2">
        <w:rPr>
          <w:rFonts w:eastAsia="Calibri"/>
          <w:b/>
          <w:sz w:val="22"/>
          <w:szCs w:val="22"/>
          <w:u w:val="single"/>
        </w:rPr>
        <w:t>restrictions or advantages of the module, TAST or response asset</w:t>
      </w:r>
      <w:r w:rsidRPr="003722B2">
        <w:rPr>
          <w:rFonts w:eastAsia="Calibri"/>
          <w:sz w:val="22"/>
          <w:szCs w:val="22"/>
        </w:rPr>
        <w:t xml:space="preserve"> (i.e. climate related information) and </w:t>
      </w:r>
      <w:r w:rsidRPr="003722B2">
        <w:rPr>
          <w:rFonts w:eastAsia="Calibri"/>
          <w:b/>
          <w:sz w:val="22"/>
          <w:szCs w:val="22"/>
          <w:u w:val="single"/>
        </w:rPr>
        <w:t>other foreseeable conditions of deployment</w:t>
      </w:r>
      <w:r w:rsidRPr="003722B2">
        <w:rPr>
          <w:rFonts w:eastAsia="Calibri"/>
          <w:sz w:val="22"/>
          <w:szCs w:val="22"/>
        </w:rPr>
        <w:t xml:space="preserve"> (i.e. type of fuel). </w:t>
      </w:r>
    </w:p>
    <w:p w14:paraId="5CB29717"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sz w:val="22"/>
          <w:szCs w:val="22"/>
        </w:rPr>
        <w:t>"</w:t>
      </w:r>
      <w:r w:rsidRPr="00DF6A32">
        <w:rPr>
          <w:rFonts w:eastAsia="Calibri"/>
          <w:b/>
          <w:sz w:val="22"/>
          <w:szCs w:val="22"/>
          <w:u w:val="single"/>
        </w:rPr>
        <w:t>Experience File",</w:t>
      </w:r>
      <w:r w:rsidRPr="003722B2">
        <w:rPr>
          <w:rFonts w:eastAsia="Calibri"/>
          <w:sz w:val="22"/>
          <w:szCs w:val="22"/>
        </w:rPr>
        <w:t xml:space="preserve"> including the following:</w:t>
      </w:r>
    </w:p>
    <w:p w14:paraId="4A5B3B46" w14:textId="77777777" w:rsidR="006516DB" w:rsidRPr="007E518D" w:rsidRDefault="006516DB" w:rsidP="006516DB">
      <w:pPr>
        <w:numPr>
          <w:ilvl w:val="0"/>
          <w:numId w:val="39"/>
        </w:numPr>
        <w:spacing w:after="200" w:line="276" w:lineRule="auto"/>
        <w:rPr>
          <w:rFonts w:eastAsia="Calibri"/>
          <w:sz w:val="22"/>
          <w:szCs w:val="22"/>
        </w:rPr>
      </w:pPr>
      <w:r w:rsidRPr="007E518D">
        <w:rPr>
          <w:rFonts w:eastAsia="Calibri"/>
          <w:sz w:val="22"/>
          <w:szCs w:val="22"/>
        </w:rPr>
        <w:t xml:space="preserve">summaries of previous deployments of the module, TAST, or other response capacity </w:t>
      </w:r>
      <w:r w:rsidRPr="007E518D">
        <w:rPr>
          <w:rFonts w:eastAsia="Calibri"/>
          <w:i/>
          <w:sz w:val="22"/>
          <w:szCs w:val="22"/>
        </w:rPr>
        <w:t xml:space="preserve">– </w:t>
      </w:r>
      <w:r w:rsidRPr="007E518D">
        <w:rPr>
          <w:rFonts w:eastAsia="Calibri"/>
          <w:color w:val="0070C0"/>
          <w:sz w:val="22"/>
          <w:szCs w:val="22"/>
        </w:rPr>
        <w:t>focus on recent emergencies (last 3-5 years), and provide information on the type of emergency, the mission duration, number of personnel deployed, final output</w:t>
      </w:r>
      <w:r w:rsidRPr="007E518D">
        <w:rPr>
          <w:rFonts w:eastAsia="Calibri"/>
          <w:sz w:val="22"/>
          <w:szCs w:val="22"/>
        </w:rPr>
        <w:t>;</w:t>
      </w:r>
    </w:p>
    <w:p w14:paraId="28FDD82E" w14:textId="77777777" w:rsidR="006516DB" w:rsidRPr="003722B2" w:rsidRDefault="006516DB" w:rsidP="006516DB">
      <w:pPr>
        <w:numPr>
          <w:ilvl w:val="0"/>
          <w:numId w:val="39"/>
        </w:numPr>
        <w:spacing w:after="200" w:line="276" w:lineRule="auto"/>
        <w:rPr>
          <w:rFonts w:eastAsia="Calibri"/>
          <w:sz w:val="22"/>
          <w:szCs w:val="22"/>
        </w:rPr>
      </w:pPr>
      <w:r w:rsidRPr="003722B2">
        <w:rPr>
          <w:rFonts w:eastAsia="Calibri"/>
          <w:sz w:val="22"/>
          <w:szCs w:val="22"/>
        </w:rPr>
        <w:t xml:space="preserve">participation in the UCPM exercises or international exercises; </w:t>
      </w:r>
    </w:p>
    <w:p w14:paraId="2D5B17D5" w14:textId="77777777" w:rsidR="006516DB" w:rsidRPr="003722B2" w:rsidRDefault="006516DB" w:rsidP="006516DB">
      <w:pPr>
        <w:numPr>
          <w:ilvl w:val="0"/>
          <w:numId w:val="39"/>
        </w:numPr>
        <w:spacing w:after="200" w:line="276" w:lineRule="auto"/>
        <w:rPr>
          <w:rFonts w:eastAsia="Calibri"/>
          <w:sz w:val="22"/>
          <w:szCs w:val="22"/>
        </w:rPr>
      </w:pPr>
      <w:r w:rsidRPr="003722B2">
        <w:rPr>
          <w:rFonts w:eastAsia="Calibri"/>
          <w:sz w:val="22"/>
          <w:szCs w:val="22"/>
        </w:rPr>
        <w:t xml:space="preserve">training of key personnel (Team Leader, Deputy Team Leader, Liaison Officer) through the UCPM, UN or international relevant training; </w:t>
      </w:r>
    </w:p>
    <w:p w14:paraId="1AAE05EC" w14:textId="77777777" w:rsidR="006516DB" w:rsidRPr="003722B2" w:rsidRDefault="006516DB" w:rsidP="006516DB">
      <w:pPr>
        <w:numPr>
          <w:ilvl w:val="0"/>
          <w:numId w:val="39"/>
        </w:numPr>
        <w:spacing w:after="200" w:line="276" w:lineRule="auto"/>
        <w:rPr>
          <w:rFonts w:eastAsia="Calibri"/>
          <w:sz w:val="22"/>
          <w:szCs w:val="22"/>
        </w:rPr>
      </w:pPr>
      <w:r w:rsidRPr="003722B2">
        <w:rPr>
          <w:rFonts w:eastAsia="Calibri"/>
          <w:sz w:val="22"/>
          <w:szCs w:val="22"/>
        </w:rPr>
        <w:t>participation of key personnel in UCPM exercises or international exercises;</w:t>
      </w:r>
    </w:p>
    <w:p w14:paraId="2125E369" w14:textId="77777777" w:rsidR="006516DB" w:rsidRPr="003722B2" w:rsidRDefault="006516DB" w:rsidP="006516DB">
      <w:pPr>
        <w:numPr>
          <w:ilvl w:val="0"/>
          <w:numId w:val="39"/>
        </w:numPr>
        <w:spacing w:after="200" w:line="276" w:lineRule="auto"/>
        <w:rPr>
          <w:rFonts w:eastAsia="Calibri"/>
          <w:sz w:val="22"/>
          <w:szCs w:val="22"/>
        </w:rPr>
      </w:pPr>
      <w:r w:rsidRPr="003722B2">
        <w:rPr>
          <w:rFonts w:eastAsia="Calibri"/>
          <w:sz w:val="22"/>
          <w:szCs w:val="22"/>
        </w:rPr>
        <w:t xml:space="preserve">compliance with international standards where relevant (e.g. INSARAG, WHO, IFRC etc.). </w:t>
      </w:r>
    </w:p>
    <w:p w14:paraId="45920138" w14:textId="77777777" w:rsidR="006516DB" w:rsidRPr="00DF6A32" w:rsidRDefault="006516DB" w:rsidP="006516DB">
      <w:pPr>
        <w:spacing w:after="200" w:line="276" w:lineRule="auto"/>
        <w:ind w:left="360"/>
        <w:rPr>
          <w:rFonts w:eastAsia="Calibri"/>
          <w:color w:val="0070C0"/>
          <w:sz w:val="22"/>
          <w:szCs w:val="22"/>
        </w:rPr>
      </w:pPr>
      <w:r w:rsidRPr="00DF6A32">
        <w:rPr>
          <w:rFonts w:eastAsia="Calibri"/>
          <w:color w:val="0070C0"/>
          <w:sz w:val="22"/>
          <w:szCs w:val="22"/>
        </w:rPr>
        <w:t xml:space="preserve">In case of modules, TAST or other response capacity, put forward by more than one country on a rotation basis, this should be indicated for each of the modules. </w:t>
      </w:r>
    </w:p>
    <w:p w14:paraId="0D45A587" w14:textId="77777777" w:rsidR="006516DB" w:rsidRPr="00DF6A32" w:rsidRDefault="006516DB" w:rsidP="006516DB">
      <w:pPr>
        <w:numPr>
          <w:ilvl w:val="0"/>
          <w:numId w:val="38"/>
        </w:numPr>
        <w:spacing w:after="200" w:line="276" w:lineRule="auto"/>
        <w:rPr>
          <w:rFonts w:eastAsia="Calibri"/>
          <w:color w:val="0070C0"/>
          <w:sz w:val="22"/>
          <w:szCs w:val="22"/>
        </w:rPr>
      </w:pPr>
      <w:r w:rsidRPr="003722B2">
        <w:rPr>
          <w:rFonts w:eastAsia="Calibri"/>
          <w:sz w:val="22"/>
          <w:szCs w:val="22"/>
        </w:rPr>
        <w:t xml:space="preserve">A </w:t>
      </w:r>
      <w:r w:rsidRPr="003722B2">
        <w:rPr>
          <w:rFonts w:eastAsia="Calibri"/>
          <w:b/>
          <w:sz w:val="22"/>
          <w:szCs w:val="22"/>
          <w:u w:val="single"/>
        </w:rPr>
        <w:t>self-assessment of adaptation needs and associated costs</w:t>
      </w:r>
      <w:r w:rsidRPr="00DF6A32">
        <w:rPr>
          <w:rFonts w:eastAsia="Calibri"/>
          <w:color w:val="0070C0"/>
          <w:sz w:val="22"/>
          <w:szCs w:val="22"/>
        </w:rPr>
        <w:t xml:space="preserve">: a first indication should be given in this application of the adaptation costs and the associated timeline, according to the information available. </w:t>
      </w:r>
      <w:r w:rsidRPr="00DF6A32">
        <w:rPr>
          <w:rFonts w:eastAsia="Calibri"/>
          <w:color w:val="0070C0"/>
          <w:sz w:val="22"/>
          <w:szCs w:val="22"/>
          <w:u w:val="single"/>
        </w:rPr>
        <w:t>A separate grant request will have to be made for adaptation costs, during the certification phase.</w:t>
      </w:r>
      <w:r w:rsidRPr="00DF6A32">
        <w:rPr>
          <w:rFonts w:eastAsia="Calibri"/>
          <w:color w:val="0070C0"/>
          <w:sz w:val="22"/>
          <w:szCs w:val="22"/>
        </w:rPr>
        <w:t xml:space="preserve"> </w:t>
      </w:r>
    </w:p>
    <w:p w14:paraId="43EBD9E6" w14:textId="77777777" w:rsidR="006516DB" w:rsidRPr="003722B2" w:rsidRDefault="006516DB" w:rsidP="006516DB">
      <w:pPr>
        <w:numPr>
          <w:ilvl w:val="0"/>
          <w:numId w:val="38"/>
        </w:numPr>
        <w:spacing w:after="200" w:line="276" w:lineRule="auto"/>
        <w:rPr>
          <w:rFonts w:eastAsia="Calibri"/>
          <w:sz w:val="22"/>
          <w:szCs w:val="22"/>
        </w:rPr>
      </w:pPr>
      <w:r w:rsidRPr="003722B2">
        <w:rPr>
          <w:rFonts w:eastAsia="Calibri"/>
          <w:b/>
          <w:sz w:val="22"/>
          <w:szCs w:val="22"/>
          <w:u w:val="single"/>
        </w:rPr>
        <w:t>All necessary contact information</w:t>
      </w:r>
      <w:r w:rsidRPr="003722B2">
        <w:rPr>
          <w:rFonts w:eastAsia="Calibri"/>
          <w:sz w:val="22"/>
          <w:szCs w:val="22"/>
        </w:rPr>
        <w:t xml:space="preserve">. </w:t>
      </w:r>
    </w:p>
    <w:p w14:paraId="4A132CB0" w14:textId="77777777" w:rsidR="006516DB" w:rsidRPr="00DF6A32" w:rsidRDefault="006516DB" w:rsidP="006516DB">
      <w:pPr>
        <w:numPr>
          <w:ilvl w:val="0"/>
          <w:numId w:val="40"/>
        </w:numPr>
        <w:spacing w:after="200" w:line="276" w:lineRule="auto"/>
        <w:rPr>
          <w:rFonts w:eastAsia="Calibri"/>
          <w:sz w:val="22"/>
          <w:szCs w:val="22"/>
        </w:rPr>
      </w:pPr>
      <w:r w:rsidRPr="00DF6A32">
        <w:rPr>
          <w:rFonts w:eastAsia="Calibri"/>
          <w:sz w:val="22"/>
          <w:szCs w:val="22"/>
        </w:rPr>
        <w:t xml:space="preserve">Contact person for clarification questions that the Commission may have during the preliminary check and during the certification and registration procedure. </w:t>
      </w:r>
    </w:p>
    <w:p w14:paraId="5CA63780" w14:textId="77777777" w:rsidR="006516DB" w:rsidRPr="003722B2" w:rsidRDefault="006516DB" w:rsidP="006516DB">
      <w:pPr>
        <w:numPr>
          <w:ilvl w:val="0"/>
          <w:numId w:val="40"/>
        </w:numPr>
        <w:spacing w:after="200" w:line="276" w:lineRule="auto"/>
        <w:rPr>
          <w:rFonts w:eastAsia="Calibri"/>
          <w:i/>
          <w:sz w:val="22"/>
          <w:szCs w:val="22"/>
        </w:rPr>
      </w:pPr>
      <w:r w:rsidRPr="00DF6A32">
        <w:rPr>
          <w:rFonts w:eastAsia="Calibri"/>
          <w:sz w:val="22"/>
          <w:szCs w:val="22"/>
        </w:rPr>
        <w:t>Single operational contact point (24/7) for the ERCC – to be used for communication related to specific deployments.</w:t>
      </w:r>
      <w:r w:rsidRPr="003722B2">
        <w:rPr>
          <w:rFonts w:eastAsia="Calibri"/>
          <w:i/>
          <w:sz w:val="22"/>
          <w:szCs w:val="22"/>
        </w:rPr>
        <w:t xml:space="preserve">  </w:t>
      </w:r>
    </w:p>
    <w:p w14:paraId="6FAC01FD" w14:textId="77777777" w:rsidR="006516DB" w:rsidRPr="003722B2" w:rsidRDefault="006516DB" w:rsidP="006516DB">
      <w:pPr>
        <w:spacing w:after="200" w:line="276" w:lineRule="auto"/>
        <w:ind w:left="360"/>
        <w:rPr>
          <w:rFonts w:eastAsia="Calibri"/>
          <w:sz w:val="22"/>
          <w:szCs w:val="22"/>
        </w:rPr>
      </w:pPr>
    </w:p>
    <w:p w14:paraId="73A0E647" w14:textId="788849B4" w:rsidR="003B1161" w:rsidRPr="006516DB" w:rsidRDefault="003B1161" w:rsidP="006516DB">
      <w:pPr>
        <w:rPr>
          <w:color w:val="0070C0"/>
        </w:rPr>
      </w:pPr>
    </w:p>
    <w:sectPr w:rsidR="003B1161" w:rsidRPr="006516DB" w:rsidSect="00975124">
      <w:footerReference w:type="default" r:id="rId13"/>
      <w:headerReference w:type="first" r:id="rId14"/>
      <w:pgSz w:w="11906" w:h="16838"/>
      <w:pgMar w:top="1020" w:right="1701" w:bottom="1020" w:left="1587"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A5F0" w14:textId="77777777" w:rsidR="006516DB" w:rsidRDefault="006516DB" w:rsidP="00C469A0">
      <w:pPr>
        <w:spacing w:after="0"/>
      </w:pPr>
      <w:r>
        <w:separator/>
      </w:r>
    </w:p>
  </w:endnote>
  <w:endnote w:type="continuationSeparator" w:id="0">
    <w:p w14:paraId="06ECCB1E" w14:textId="77777777" w:rsidR="006516DB" w:rsidRDefault="006516DB" w:rsidP="00C46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08BA3" w14:textId="7FE114FD" w:rsidR="006516DB" w:rsidRDefault="006516DB">
    <w:pPr>
      <w:pStyle w:val="Footer"/>
      <w:jc w:val="center"/>
    </w:pPr>
    <w:r>
      <w:fldChar w:fldCharType="begin"/>
    </w:r>
    <w:r>
      <w:instrText>PAGE</w:instrText>
    </w:r>
    <w:r>
      <w:fldChar w:fldCharType="separate"/>
    </w:r>
    <w:r w:rsidR="00BD44D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0B5E" w14:textId="77777777" w:rsidR="006516DB" w:rsidRDefault="006516DB" w:rsidP="00C469A0">
      <w:pPr>
        <w:spacing w:after="0"/>
      </w:pPr>
      <w:r>
        <w:separator/>
      </w:r>
    </w:p>
  </w:footnote>
  <w:footnote w:type="continuationSeparator" w:id="0">
    <w:p w14:paraId="2F010A19" w14:textId="77777777" w:rsidR="006516DB" w:rsidRDefault="006516DB" w:rsidP="00C469A0">
      <w:pPr>
        <w:spacing w:after="0"/>
      </w:pPr>
      <w:r>
        <w:continuationSeparator/>
      </w:r>
    </w:p>
  </w:footnote>
  <w:footnote w:id="1">
    <w:p w14:paraId="724FF526" w14:textId="2A888746" w:rsidR="006516DB" w:rsidRDefault="006516DB" w:rsidP="006516DB">
      <w:pPr>
        <w:pStyle w:val="FootnoteText"/>
      </w:pPr>
      <w:r>
        <w:rPr>
          <w:rStyle w:val="FootnoteReference"/>
        </w:rPr>
        <w:footnoteRef/>
      </w:r>
      <w:r>
        <w:t xml:space="preserve"> This application shall be submitted as attachment to a letter of commitment of the asset to the E</w:t>
      </w:r>
      <w:r w:rsidR="006968FA">
        <w:t>CPP</w:t>
      </w:r>
      <w:r>
        <w:t xml:space="preserve">, addressed in writing </w:t>
      </w:r>
      <w:r w:rsidRPr="00CA2E0E">
        <w:t xml:space="preserve">to </w:t>
      </w:r>
      <w:r>
        <w:t xml:space="preserve">Director-General DG ECHO, Rue de la Loi 86, 1049, Brussels. The application does not need to be signed, in view of the letter being signed at the appropriate level in the Participating States' administration. </w:t>
      </w:r>
    </w:p>
  </w:footnote>
  <w:footnote w:id="2">
    <w:p w14:paraId="5D254D24" w14:textId="48E09B06" w:rsidR="00BD44D0" w:rsidRPr="00BD44D0" w:rsidRDefault="006968FA" w:rsidP="00BD44D0">
      <w:pPr>
        <w:pStyle w:val="FootnoteText"/>
      </w:pPr>
      <w:r>
        <w:rPr>
          <w:rStyle w:val="FootnoteReference"/>
        </w:rPr>
        <w:footnoteRef/>
      </w:r>
      <w:r>
        <w:t xml:space="preserve"> </w:t>
      </w:r>
      <w:r w:rsidR="00175BB5" w:rsidRPr="00175BB5">
        <w:t>The amount of Union financial assistance for capacities pre- committed to the European Civil Protection Pool shall not exceed 75 % of the costs of operating the capacities, including transport, in the event of a disaster or imminent disaster inside or outside the Union</w:t>
      </w:r>
      <w:r w:rsidR="00BD44D0">
        <w:t xml:space="preserve"> </w:t>
      </w:r>
      <w:r w:rsidR="00BD44D0" w:rsidRPr="00BD44D0">
        <w:t xml:space="preserve">(art. 23.2. of REGULATION 2021/836 amending the Decision 1313/2013/EU) </w:t>
      </w:r>
    </w:p>
    <w:p w14:paraId="46F19BCF" w14:textId="6C4D5456" w:rsidR="006968FA" w:rsidRDefault="006968FA" w:rsidP="006968F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82A9" w14:textId="77777777" w:rsidR="006516DB" w:rsidRDefault="006516D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0120C9"/>
    <w:multiLevelType w:val="hybridMultilevel"/>
    <w:tmpl w:val="D20CC05E"/>
    <w:lvl w:ilvl="0" w:tplc="5FF6EE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CF25B49"/>
    <w:multiLevelType w:val="hybridMultilevel"/>
    <w:tmpl w:val="44E2F7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5A03D42"/>
    <w:multiLevelType w:val="hybridMultilevel"/>
    <w:tmpl w:val="78969CB6"/>
    <w:lvl w:ilvl="0" w:tplc="8CFAE0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E7C20"/>
    <w:multiLevelType w:val="hybridMultilevel"/>
    <w:tmpl w:val="4C6EA7D4"/>
    <w:lvl w:ilvl="0" w:tplc="5FF6EE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B32EB9"/>
    <w:multiLevelType w:val="hybridMultilevel"/>
    <w:tmpl w:val="F766A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C71668"/>
    <w:multiLevelType w:val="hybridMultilevel"/>
    <w:tmpl w:val="A2263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037A5A"/>
    <w:multiLevelType w:val="hybridMultilevel"/>
    <w:tmpl w:val="2410E3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32E4D1F"/>
    <w:multiLevelType w:val="hybridMultilevel"/>
    <w:tmpl w:val="B9D0DCCC"/>
    <w:lvl w:ilvl="0" w:tplc="8CFAE0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4" w15:restartNumberingAfterBreak="0">
    <w:nsid w:val="274B15C2"/>
    <w:multiLevelType w:val="hybridMultilevel"/>
    <w:tmpl w:val="E1BC83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41E93B09"/>
    <w:multiLevelType w:val="hybridMultilevel"/>
    <w:tmpl w:val="FBEA0500"/>
    <w:lvl w:ilvl="0" w:tplc="5FF6EEA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5" w15:restartNumberingAfterBreak="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B914436"/>
    <w:multiLevelType w:val="hybridMultilevel"/>
    <w:tmpl w:val="1E68CB02"/>
    <w:lvl w:ilvl="0" w:tplc="8CFAE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C51000"/>
    <w:multiLevelType w:val="hybridMultilevel"/>
    <w:tmpl w:val="20EE8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F0711ED"/>
    <w:multiLevelType w:val="hybridMultilevel"/>
    <w:tmpl w:val="CC5C78F6"/>
    <w:lvl w:ilvl="0" w:tplc="8CFAE06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766A45"/>
    <w:multiLevelType w:val="hybridMultilevel"/>
    <w:tmpl w:val="43CC5842"/>
    <w:lvl w:ilvl="0" w:tplc="8CFAE0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C1A4F"/>
    <w:multiLevelType w:val="hybridMultilevel"/>
    <w:tmpl w:val="1B1EBC3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15:restartNumberingAfterBreak="0">
    <w:nsid w:val="592E7081"/>
    <w:multiLevelType w:val="hybridMultilevel"/>
    <w:tmpl w:val="A2844176"/>
    <w:lvl w:ilvl="0" w:tplc="8CFAE0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D5E3053"/>
    <w:multiLevelType w:val="hybridMultilevel"/>
    <w:tmpl w:val="41361DA8"/>
    <w:lvl w:ilvl="0" w:tplc="8CFAE0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09B6AFF"/>
    <w:multiLevelType w:val="hybridMultilevel"/>
    <w:tmpl w:val="FA36AE3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13F018A"/>
    <w:multiLevelType w:val="hybridMultilevel"/>
    <w:tmpl w:val="20EE8C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9" w15:restartNumberingAfterBreak="0">
    <w:nsid w:val="6AC134DA"/>
    <w:multiLevelType w:val="hybridMultilevel"/>
    <w:tmpl w:val="2CBA47A8"/>
    <w:lvl w:ilvl="0" w:tplc="82E87D80">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1" w15:restartNumberingAfterBreak="0">
    <w:nsid w:val="6E9651C2"/>
    <w:multiLevelType w:val="hybridMultilevel"/>
    <w:tmpl w:val="981ABA6C"/>
    <w:lvl w:ilvl="0" w:tplc="8CFAE0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030887">
    <w:abstractNumId w:val="1"/>
  </w:num>
  <w:num w:numId="2" w16cid:durableId="1893956127">
    <w:abstractNumId w:val="0"/>
  </w:num>
  <w:num w:numId="3" w16cid:durableId="1519394695">
    <w:abstractNumId w:val="25"/>
  </w:num>
  <w:num w:numId="4" w16cid:durableId="237599646">
    <w:abstractNumId w:val="31"/>
  </w:num>
  <w:num w:numId="5" w16cid:durableId="922422421">
    <w:abstractNumId w:val="18"/>
  </w:num>
  <w:num w:numId="6" w16cid:durableId="669522103">
    <w:abstractNumId w:val="15"/>
  </w:num>
  <w:num w:numId="7" w16cid:durableId="1972513598">
    <w:abstractNumId w:val="6"/>
  </w:num>
  <w:num w:numId="8" w16cid:durableId="2067753303">
    <w:abstractNumId w:val="5"/>
  </w:num>
  <w:num w:numId="9" w16cid:durableId="266738004">
    <w:abstractNumId w:val="36"/>
  </w:num>
  <w:num w:numId="10" w16cid:durableId="537546939">
    <w:abstractNumId w:val="38"/>
  </w:num>
  <w:num w:numId="11" w16cid:durableId="611522509">
    <w:abstractNumId w:val="37"/>
  </w:num>
  <w:num w:numId="12" w16cid:durableId="648439207">
    <w:abstractNumId w:val="40"/>
  </w:num>
  <w:num w:numId="13" w16cid:durableId="713969218">
    <w:abstractNumId w:val="13"/>
  </w:num>
  <w:num w:numId="14" w16cid:durableId="1587375860">
    <w:abstractNumId w:val="20"/>
  </w:num>
  <w:num w:numId="15" w16cid:durableId="1320424213">
    <w:abstractNumId w:val="22"/>
  </w:num>
  <w:num w:numId="16" w16cid:durableId="1455249567">
    <w:abstractNumId w:val="21"/>
  </w:num>
  <w:num w:numId="17" w16cid:durableId="1234465500">
    <w:abstractNumId w:val="3"/>
  </w:num>
  <w:num w:numId="18" w16cid:durableId="1699237015">
    <w:abstractNumId w:val="23"/>
  </w:num>
  <w:num w:numId="19" w16cid:durableId="357315958">
    <w:abstractNumId w:val="16"/>
  </w:num>
  <w:num w:numId="20" w16cid:durableId="530266222">
    <w:abstractNumId w:val="35"/>
  </w:num>
  <w:num w:numId="21" w16cid:durableId="73557505">
    <w:abstractNumId w:val="7"/>
  </w:num>
  <w:num w:numId="22" w16cid:durableId="1441682546">
    <w:abstractNumId w:val="10"/>
  </w:num>
  <w:num w:numId="23" w16cid:durableId="898368478">
    <w:abstractNumId w:val="27"/>
  </w:num>
  <w:num w:numId="24" w16cid:durableId="1422679464">
    <w:abstractNumId w:val="9"/>
  </w:num>
  <w:num w:numId="25" w16cid:durableId="223882624">
    <w:abstractNumId w:val="26"/>
  </w:num>
  <w:num w:numId="26" w16cid:durableId="1374311173">
    <w:abstractNumId w:val="41"/>
  </w:num>
  <w:num w:numId="27" w16cid:durableId="55127065">
    <w:abstractNumId w:val="14"/>
  </w:num>
  <w:num w:numId="28" w16cid:durableId="2100363675">
    <w:abstractNumId w:val="11"/>
  </w:num>
  <w:num w:numId="29" w16cid:durableId="501898577">
    <w:abstractNumId w:val="29"/>
  </w:num>
  <w:num w:numId="30" w16cid:durableId="382758487">
    <w:abstractNumId w:val="28"/>
  </w:num>
  <w:num w:numId="31" w16cid:durableId="1673799109">
    <w:abstractNumId w:val="8"/>
  </w:num>
  <w:num w:numId="32" w16cid:durableId="1247306118">
    <w:abstractNumId w:val="19"/>
  </w:num>
  <w:num w:numId="33" w16cid:durableId="1656838449">
    <w:abstractNumId w:val="2"/>
  </w:num>
  <w:num w:numId="34" w16cid:durableId="992220615">
    <w:abstractNumId w:val="4"/>
  </w:num>
  <w:num w:numId="35" w16cid:durableId="1205141937">
    <w:abstractNumId w:val="12"/>
  </w:num>
  <w:num w:numId="36" w16cid:durableId="977417527">
    <w:abstractNumId w:val="33"/>
  </w:num>
  <w:num w:numId="37" w16cid:durableId="1682853577">
    <w:abstractNumId w:val="32"/>
  </w:num>
  <w:num w:numId="38" w16cid:durableId="133913247">
    <w:abstractNumId w:val="39"/>
  </w:num>
  <w:num w:numId="39" w16cid:durableId="808984751">
    <w:abstractNumId w:val="30"/>
  </w:num>
  <w:num w:numId="40" w16cid:durableId="167452623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9A0"/>
    <w:rsid w:val="000203B7"/>
    <w:rsid w:val="00024F5A"/>
    <w:rsid w:val="0002767E"/>
    <w:rsid w:val="00030127"/>
    <w:rsid w:val="00036512"/>
    <w:rsid w:val="0007106D"/>
    <w:rsid w:val="00073896"/>
    <w:rsid w:val="00095D0A"/>
    <w:rsid w:val="000C1A2C"/>
    <w:rsid w:val="000C2337"/>
    <w:rsid w:val="000D2DD9"/>
    <w:rsid w:val="000D6D3F"/>
    <w:rsid w:val="00103301"/>
    <w:rsid w:val="00104D01"/>
    <w:rsid w:val="001604BD"/>
    <w:rsid w:val="00175BB5"/>
    <w:rsid w:val="00225A6B"/>
    <w:rsid w:val="00231E8A"/>
    <w:rsid w:val="00242930"/>
    <w:rsid w:val="00246973"/>
    <w:rsid w:val="0024715C"/>
    <w:rsid w:val="00275077"/>
    <w:rsid w:val="00290BD5"/>
    <w:rsid w:val="00291B83"/>
    <w:rsid w:val="00295182"/>
    <w:rsid w:val="002C0C34"/>
    <w:rsid w:val="002F1BFD"/>
    <w:rsid w:val="002F643E"/>
    <w:rsid w:val="00300BD8"/>
    <w:rsid w:val="00316284"/>
    <w:rsid w:val="003167EC"/>
    <w:rsid w:val="00320565"/>
    <w:rsid w:val="003568DC"/>
    <w:rsid w:val="00396008"/>
    <w:rsid w:val="003A54DA"/>
    <w:rsid w:val="003B1161"/>
    <w:rsid w:val="003C0163"/>
    <w:rsid w:val="003C488C"/>
    <w:rsid w:val="003C62B6"/>
    <w:rsid w:val="003D038D"/>
    <w:rsid w:val="003D0B64"/>
    <w:rsid w:val="00421AB1"/>
    <w:rsid w:val="00421BF4"/>
    <w:rsid w:val="00437853"/>
    <w:rsid w:val="00454B74"/>
    <w:rsid w:val="00487269"/>
    <w:rsid w:val="00494451"/>
    <w:rsid w:val="004A3D0C"/>
    <w:rsid w:val="004B6E46"/>
    <w:rsid w:val="004C4608"/>
    <w:rsid w:val="004E2D7A"/>
    <w:rsid w:val="004E4FC9"/>
    <w:rsid w:val="00504186"/>
    <w:rsid w:val="00516EC3"/>
    <w:rsid w:val="00534F75"/>
    <w:rsid w:val="00544D41"/>
    <w:rsid w:val="005478AD"/>
    <w:rsid w:val="005541F1"/>
    <w:rsid w:val="00575AB6"/>
    <w:rsid w:val="00584C8E"/>
    <w:rsid w:val="00587633"/>
    <w:rsid w:val="005A2325"/>
    <w:rsid w:val="005A278D"/>
    <w:rsid w:val="005C3E16"/>
    <w:rsid w:val="005F1658"/>
    <w:rsid w:val="00603F9B"/>
    <w:rsid w:val="00615670"/>
    <w:rsid w:val="00635138"/>
    <w:rsid w:val="0064328F"/>
    <w:rsid w:val="006516DB"/>
    <w:rsid w:val="00652CE7"/>
    <w:rsid w:val="0069169C"/>
    <w:rsid w:val="00695ABA"/>
    <w:rsid w:val="006968FA"/>
    <w:rsid w:val="006C68D3"/>
    <w:rsid w:val="006D76E3"/>
    <w:rsid w:val="006F6894"/>
    <w:rsid w:val="00706B82"/>
    <w:rsid w:val="00706F10"/>
    <w:rsid w:val="007176B3"/>
    <w:rsid w:val="00723838"/>
    <w:rsid w:val="00747C69"/>
    <w:rsid w:val="00757E27"/>
    <w:rsid w:val="007674C6"/>
    <w:rsid w:val="007A04FF"/>
    <w:rsid w:val="007A52E7"/>
    <w:rsid w:val="007B72E5"/>
    <w:rsid w:val="007C4679"/>
    <w:rsid w:val="007D20D5"/>
    <w:rsid w:val="007E3E9E"/>
    <w:rsid w:val="007E5DC7"/>
    <w:rsid w:val="00800A85"/>
    <w:rsid w:val="00801484"/>
    <w:rsid w:val="008164DE"/>
    <w:rsid w:val="0088440E"/>
    <w:rsid w:val="00897090"/>
    <w:rsid w:val="008A1764"/>
    <w:rsid w:val="008B1E55"/>
    <w:rsid w:val="008B4DD3"/>
    <w:rsid w:val="008E0551"/>
    <w:rsid w:val="008E0F5B"/>
    <w:rsid w:val="0090377F"/>
    <w:rsid w:val="00923201"/>
    <w:rsid w:val="0093178A"/>
    <w:rsid w:val="00931B98"/>
    <w:rsid w:val="00975124"/>
    <w:rsid w:val="009E53E0"/>
    <w:rsid w:val="009F27F3"/>
    <w:rsid w:val="009F7EBC"/>
    <w:rsid w:val="00A35EB0"/>
    <w:rsid w:val="00A50DA6"/>
    <w:rsid w:val="00A61897"/>
    <w:rsid w:val="00A91E61"/>
    <w:rsid w:val="00A95FAB"/>
    <w:rsid w:val="00AA266E"/>
    <w:rsid w:val="00AA6A53"/>
    <w:rsid w:val="00AB44DB"/>
    <w:rsid w:val="00B20382"/>
    <w:rsid w:val="00B53C5B"/>
    <w:rsid w:val="00B87631"/>
    <w:rsid w:val="00B92767"/>
    <w:rsid w:val="00BA4FD4"/>
    <w:rsid w:val="00BB1608"/>
    <w:rsid w:val="00BD44D0"/>
    <w:rsid w:val="00BD4538"/>
    <w:rsid w:val="00BD5253"/>
    <w:rsid w:val="00BF1F4B"/>
    <w:rsid w:val="00C176CF"/>
    <w:rsid w:val="00C27222"/>
    <w:rsid w:val="00C469A0"/>
    <w:rsid w:val="00C61CBD"/>
    <w:rsid w:val="00C61DC5"/>
    <w:rsid w:val="00C7766E"/>
    <w:rsid w:val="00C77C06"/>
    <w:rsid w:val="00C947CA"/>
    <w:rsid w:val="00CF404E"/>
    <w:rsid w:val="00D026F0"/>
    <w:rsid w:val="00D1245C"/>
    <w:rsid w:val="00D26A05"/>
    <w:rsid w:val="00D4360B"/>
    <w:rsid w:val="00D45FE9"/>
    <w:rsid w:val="00D479F2"/>
    <w:rsid w:val="00D5183A"/>
    <w:rsid w:val="00D90AC1"/>
    <w:rsid w:val="00DA2B67"/>
    <w:rsid w:val="00DA5F63"/>
    <w:rsid w:val="00DC574A"/>
    <w:rsid w:val="00DC5F00"/>
    <w:rsid w:val="00DC6D44"/>
    <w:rsid w:val="00DD6CFE"/>
    <w:rsid w:val="00DE0072"/>
    <w:rsid w:val="00DE6070"/>
    <w:rsid w:val="00E02336"/>
    <w:rsid w:val="00E23610"/>
    <w:rsid w:val="00E3547F"/>
    <w:rsid w:val="00E416F9"/>
    <w:rsid w:val="00E51CC5"/>
    <w:rsid w:val="00EC1D7F"/>
    <w:rsid w:val="00EC246F"/>
    <w:rsid w:val="00ED037C"/>
    <w:rsid w:val="00ED4F55"/>
    <w:rsid w:val="00EE5E3D"/>
    <w:rsid w:val="00F166E7"/>
    <w:rsid w:val="00F32FC9"/>
    <w:rsid w:val="00F36A30"/>
    <w:rsid w:val="00F36D9B"/>
    <w:rsid w:val="00F41439"/>
    <w:rsid w:val="00F4593F"/>
    <w:rsid w:val="00F6319E"/>
    <w:rsid w:val="00F712D4"/>
    <w:rsid w:val="00F75E97"/>
    <w:rsid w:val="00F8751E"/>
    <w:rsid w:val="00FA2142"/>
    <w:rsid w:val="00FD4763"/>
    <w:rsid w:val="00FD7CCD"/>
    <w:rsid w:val="00FF4B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1EA47"/>
  <w15:docId w15:val="{A55AE6CF-A5D1-4268-981E-03167845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C469A0"/>
    <w:rPr>
      <w:rFonts w:ascii="Arial" w:hAnsi="Arial"/>
      <w:sz w:val="16"/>
      <w:lang w:eastAsia="en-US"/>
    </w:rPr>
  </w:style>
  <w:style w:type="character" w:customStyle="1" w:styleId="DateChar">
    <w:name w:val="Date Char"/>
    <w:basedOn w:val="DefaultParagraphFont"/>
    <w:link w:val="Date"/>
    <w:uiPriority w:val="99"/>
    <w:locked/>
    <w:rsid w:val="00C469A0"/>
    <w:rPr>
      <w:sz w:val="24"/>
      <w:lang w:eastAsia="en-US"/>
    </w:rPr>
  </w:style>
  <w:style w:type="character" w:customStyle="1" w:styleId="SignatureChar">
    <w:name w:val="Signature Char"/>
    <w:basedOn w:val="DefaultParagraphFont"/>
    <w:link w:val="Signature"/>
    <w:uiPriority w:val="99"/>
    <w:locked/>
    <w:rsid w:val="00C469A0"/>
    <w:rPr>
      <w:sz w:val="24"/>
      <w:lang w:eastAsia="en-US"/>
    </w:rPr>
  </w:style>
  <w:style w:type="paragraph" w:customStyle="1" w:styleId="ZCom">
    <w:name w:val="Z_Com"/>
    <w:basedOn w:val="Normal"/>
    <w:next w:val="ZDGName"/>
    <w:uiPriority w:val="99"/>
    <w:rsid w:val="00C469A0"/>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C469A0"/>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C469A0"/>
    <w:rPr>
      <w:sz w:val="24"/>
      <w:lang w:eastAsia="en-US"/>
    </w:rPr>
  </w:style>
  <w:style w:type="paragraph" w:styleId="ListParagraph">
    <w:name w:val="List Paragraph"/>
    <w:basedOn w:val="Normal"/>
    <w:uiPriority w:val="34"/>
    <w:qFormat/>
    <w:rsid w:val="00C469A0"/>
    <w:pPr>
      <w:ind w:left="720"/>
      <w:contextualSpacing/>
    </w:pPr>
  </w:style>
  <w:style w:type="table" w:styleId="TableGrid">
    <w:name w:val="Table Grid"/>
    <w:basedOn w:val="TableNormal"/>
    <w:uiPriority w:val="59"/>
    <w:rsid w:val="008E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EB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91B8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B83"/>
    <w:rPr>
      <w:rFonts w:ascii="Tahoma" w:hAnsi="Tahoma" w:cs="Tahoma"/>
      <w:sz w:val="16"/>
      <w:szCs w:val="16"/>
      <w:lang w:eastAsia="en-US"/>
    </w:rPr>
  </w:style>
  <w:style w:type="character" w:styleId="CommentReference">
    <w:name w:val="annotation reference"/>
    <w:basedOn w:val="DefaultParagraphFont"/>
    <w:uiPriority w:val="99"/>
    <w:semiHidden/>
    <w:unhideWhenUsed/>
    <w:rsid w:val="00DC5F00"/>
    <w:rPr>
      <w:sz w:val="16"/>
      <w:szCs w:val="16"/>
    </w:rPr>
  </w:style>
  <w:style w:type="paragraph" w:styleId="CommentSubject">
    <w:name w:val="annotation subject"/>
    <w:basedOn w:val="CommentText"/>
    <w:next w:val="CommentText"/>
    <w:link w:val="CommentSubjectChar"/>
    <w:uiPriority w:val="99"/>
    <w:semiHidden/>
    <w:unhideWhenUsed/>
    <w:rsid w:val="00DC5F00"/>
    <w:rPr>
      <w:b/>
      <w:bCs/>
    </w:rPr>
  </w:style>
  <w:style w:type="character" w:customStyle="1" w:styleId="CommentTextChar">
    <w:name w:val="Comment Text Char"/>
    <w:basedOn w:val="DefaultParagraphFont"/>
    <w:link w:val="CommentText"/>
    <w:semiHidden/>
    <w:rsid w:val="00DC5F00"/>
    <w:rPr>
      <w:lang w:eastAsia="en-US"/>
    </w:rPr>
  </w:style>
  <w:style w:type="character" w:customStyle="1" w:styleId="CommentSubjectChar">
    <w:name w:val="Comment Subject Char"/>
    <w:basedOn w:val="CommentTextChar"/>
    <w:link w:val="CommentSubject"/>
    <w:uiPriority w:val="99"/>
    <w:semiHidden/>
    <w:rsid w:val="00DC5F00"/>
    <w:rPr>
      <w:b/>
      <w:bCs/>
      <w:lang w:eastAsia="en-US"/>
    </w:rPr>
  </w:style>
  <w:style w:type="character" w:customStyle="1" w:styleId="FootnoteTextChar">
    <w:name w:val="Footnote Text Char"/>
    <w:basedOn w:val="DefaultParagraphFont"/>
    <w:link w:val="FootnoteText"/>
    <w:rsid w:val="006516DB"/>
    <w:rPr>
      <w:lang w:eastAsia="en-US"/>
    </w:rPr>
  </w:style>
  <w:style w:type="character" w:styleId="FootnoteReference">
    <w:name w:val="footnote reference"/>
    <w:basedOn w:val="DefaultParagraphFont"/>
    <w:rsid w:val="006516DB"/>
    <w:rPr>
      <w:vertAlign w:val="superscript"/>
    </w:rPr>
  </w:style>
  <w:style w:type="character" w:styleId="Hyperlink">
    <w:name w:val="Hyperlink"/>
    <w:basedOn w:val="DefaultParagraphFont"/>
    <w:rsid w:val="006516DB"/>
    <w:rPr>
      <w:color w:val="0000FF" w:themeColor="hyperlink"/>
      <w:u w:val="single"/>
    </w:rPr>
  </w:style>
  <w:style w:type="character" w:customStyle="1" w:styleId="BodyPlaceholderText">
    <w:name w:val="BodyPlaceholderText"/>
    <w:basedOn w:val="PlaceholderText"/>
    <w:uiPriority w:val="1"/>
    <w:semiHidden/>
    <w:rsid w:val="00587633"/>
    <w:rPr>
      <w:color w:val="3366CC"/>
    </w:rPr>
  </w:style>
  <w:style w:type="character" w:styleId="PlaceholderText">
    <w:name w:val="Placeholder Text"/>
    <w:basedOn w:val="DefaultParagraphFont"/>
    <w:uiPriority w:val="99"/>
    <w:semiHidden/>
    <w:rsid w:val="005876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8802">
      <w:bodyDiv w:val="1"/>
      <w:marLeft w:val="0"/>
      <w:marRight w:val="0"/>
      <w:marTop w:val="0"/>
      <w:marBottom w:val="0"/>
      <w:divBdr>
        <w:top w:val="none" w:sz="0" w:space="0" w:color="auto"/>
        <w:left w:val="none" w:sz="0" w:space="0" w:color="auto"/>
        <w:bottom w:val="none" w:sz="0" w:space="0" w:color="auto"/>
        <w:right w:val="none" w:sz="0" w:space="0" w:color="auto"/>
      </w:divBdr>
    </w:div>
    <w:div w:id="375204973">
      <w:bodyDiv w:val="1"/>
      <w:marLeft w:val="0"/>
      <w:marRight w:val="0"/>
      <w:marTop w:val="0"/>
      <w:marBottom w:val="0"/>
      <w:divBdr>
        <w:top w:val="none" w:sz="0" w:space="0" w:color="auto"/>
        <w:left w:val="none" w:sz="0" w:space="0" w:color="auto"/>
        <w:bottom w:val="none" w:sz="0" w:space="0" w:color="auto"/>
        <w:right w:val="none" w:sz="0" w:space="0" w:color="auto"/>
      </w:divBdr>
    </w:div>
    <w:div w:id="389772220">
      <w:bodyDiv w:val="1"/>
      <w:marLeft w:val="0"/>
      <w:marRight w:val="0"/>
      <w:marTop w:val="0"/>
      <w:marBottom w:val="0"/>
      <w:divBdr>
        <w:top w:val="none" w:sz="0" w:space="0" w:color="auto"/>
        <w:left w:val="none" w:sz="0" w:space="0" w:color="auto"/>
        <w:bottom w:val="none" w:sz="0" w:space="0" w:color="auto"/>
        <w:right w:val="none" w:sz="0" w:space="0" w:color="auto"/>
      </w:divBdr>
    </w:div>
    <w:div w:id="7643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uri=uriserv:OJ.L_.2014.320.01.0001.01.E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NoteCopy>c.c.:</NoteCopy>
  <FooterOffice>Office:</FooterOffice>
  <SecurityOlafInvestigations>OLAF investigations</SecurityOlafInvestigations>
  <NoteReference>Ref.:</NoteReference>
  <SensitiveHandling>Handling instructions for SENSITIVE information are given at https://europa.eu/!db43PX</SensitiveHandling>
  <NoteFile>Note for the File</NoteFile>
  <SecurityOlafSpecialHandling>OLAF investigations</SecurityOlafSpecialHandling>
  <NoteParticipants>Participants:</NoteParticipants>
  <CourtProceduralDocuments>Court procedural documents</CourtProceduralDocuments>
  <NoteParticipant>Participant:</NoteParticipant>
  <OrgaRoot>EUROPEAN COMMISSION</OrgaRoot>
  <NoteCopies>c.c.:</NoteCopies>
  <NoteSubject>Subject:</NoteSubject>
  <Contact>Contact:</Contact>
  <SensitiveLabel>Sensitive</SensitiveLabel>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NoteHead>Note for the attention of</NoteHead>
  <SecurityEtsCritical>ETS Critical</SecurityEtsCritical>
  <SecurityCompSpecial>COMP</SecurityCompSpecial>
  <SecurityPharmaSpecial>Pharma investigations</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NoteEnclosures>Enclosures:</NoteEnclosures>
  <TLPAmber>TLP: Amber</TLPAmber>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cfaaf8f0-b80c-4073-b9a4-bb231f680d19</Id>
  <Names>
    <Latin>
      <FirstName>Monika</FirstName>
      <LastName>Dudek</LastName>
    </Latin>
    <Greek>
      <FirstName/>
      <LastName/>
    </Greek>
    <Cyrillic>
      <FirstName/>
      <LastName/>
    </Cyrillic>
    <DocumentScript>
      <FirstName>Monika</FirstName>
      <LastName>Dudek</LastName>
      <FullName>Monika Dudek</FullName>
    </DocumentScript>
  </Names>
  <Initials>MD</Initials>
  <Gender>f</Gender>
  <Email>Monika.DUDEK@ec.europa.eu</Email>
  <Service>ECHO.A.2</Service>
  <Function ShowInSignature="true"/>
  <WebAddress/>
  <InheritedWebAddress>WebAddress</InheritedWebAddress>
  <OrgaEntity1>
    <Id>6a49d5b7-2174-498f-a2bf-c432996191d7</Id>
    <LogicalLevel>1</LogicalLevel>
    <Name>ECHO</Name>
    <HeadLine1>DIRECTORATE-GENERAL FOR EUROPEAN CIVIL PROTECTION AND HUMANITARIAN AID OPERATIONS (ECHO)</HeadLine1>
    <HeadLine2/>
    <PrimaryAddressId>f03b5801-04c9-4931-aa17-c6d6c70bc579</PrimaryAddressId>
    <SecondaryAddressId/>
    <WebAddress>WebAddress</WebAddress>
    <InheritedWebAddress>WebAddress</InheritedWebAddress>
    <ShowInHeader>true</ShowInHeader>
  </OrgaEntity1>
  <OrgaEntity2>
    <Id>0a45c450-af11-48ba-bc22-6ef08c4316e3</Id>
    <LogicalLevel>2</LogicalLevel>
    <Name>ECHO.A</Name>
    <HeadLine1>Emergency Management and rescEU</HeadLine1>
    <HeadLine2/>
    <PrimaryAddressId>f03b5801-04c9-4931-aa17-c6d6c70bc579</PrimaryAddressId>
    <SecondaryAddressId/>
    <WebAddress/>
    <InheritedWebAddress>WebAddress</InheritedWebAddress>
    <ShowInHeader>true</ShowInHeader>
  </OrgaEntity2>
  <OrgaEntity3>
    <Id>8d44081e-e239-454a-8b35-965aa4e9775c</Id>
    <LogicalLevel>3</LogicalLevel>
    <Name>ECHO.A.2</Name>
    <HeadLine1>Capacities and Operational Support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+32 229 87785</Phone>
    <Office>L-86 04/017</Office>
  </MainWorkplace>
  <Workplaces>
    <Workplace IsMain="false">
      <AddressId>1264fb81-f6bb-475e-9f9d-a937d3be6ee2</AddressId>
      <Fax/>
      <Phone/>
      <Office/>
    </Workplace>
    <Workplace IsMain="true">
      <AddressId>f03b5801-04c9-4931-aa17-c6d6c70bc579</AddressId>
      <Fax/>
      <Phone>+32 229 87785</Phone>
      <Office>L-86 04/017</Office>
    </Workplace>
  </Workplaces>
</Author>
</file>

<file path=customXml/item4.xml><?xml version="1.0" encoding="utf-8"?>
<EurolookProperties>
  <ProductCustomizationId/>
  <Created>
    <Version>4.6</Version>
    <Date>2019-05-16T11:03:18</Date>
    <Language>EN</Language>
  </Created>
  <Edited>
    <Version>10.0.38495.0</Version>
    <Date>2019-05-16T12:11:46</Date>
  </Edited>
  <DocumentModel>
    <Id>0b054141-88b1-4efb-8c91-2905cb0bed6c</Id>
    <Name>Note</Name>
  </DocumentModel>
  <DocumentDate/>
  <DocumentVersion/>
  <CompatibilityMode>Eurolook4x</CompatibilityMode>
  <Address/>
</EurolookProperties>
</file>

<file path=customXml/itemProps1.xml><?xml version="1.0" encoding="utf-8"?>
<ds:datastoreItem xmlns:ds="http://schemas.openxmlformats.org/officeDocument/2006/customXml" ds:itemID="{4EEABA0B-7BD2-4A10-9D6D-9B44754F28EA}">
  <ds:schemaRefs>
    <ds:schemaRef ds:uri="http://schemas.openxmlformats.org/officeDocument/2006/bibliography"/>
  </ds:schemaRefs>
</ds:datastoreItem>
</file>

<file path=customXml/itemProps2.xml><?xml version="1.0" encoding="utf-8"?>
<ds:datastoreItem xmlns:ds="http://schemas.openxmlformats.org/officeDocument/2006/customXml" ds:itemID="{692DD323-C9B4-4B66-B759-C28E888D6A19}">
  <ds:schemaRefs/>
</ds:datastoreItem>
</file>

<file path=customXml/itemProps3.xml><?xml version="1.0" encoding="utf-8"?>
<ds:datastoreItem xmlns:ds="http://schemas.openxmlformats.org/officeDocument/2006/customXml" ds:itemID="{1FC2008B-D025-469A-86A3-C1A59F074A53}">
  <ds:schemaRefs/>
</ds:datastoreItem>
</file>

<file path=customXml/itemProps4.xml><?xml version="1.0" encoding="utf-8"?>
<ds:datastoreItem xmlns:ds="http://schemas.openxmlformats.org/officeDocument/2006/customXml" ds:itemID="{8369D44D-F16F-4A86-85EF-B4BBF7EB2275}">
  <ds:schemaRefs/>
</ds:datastoreItem>
</file>

<file path=docProps/app.xml><?xml version="1.0" encoding="utf-8"?>
<Properties xmlns="http://schemas.openxmlformats.org/officeDocument/2006/extended-properties" xmlns:vt="http://schemas.openxmlformats.org/officeDocument/2006/docPropsVTypes">
  <Template>Eurolook</Template>
  <TotalTime>81</TotalTime>
  <Pages>3</Pages>
  <Words>1038</Words>
  <Characters>6064</Characters>
  <Application>Microsoft Office Word</Application>
  <DocSecurity>0</DocSecurity>
  <PresentationFormat>Microsoft Word 14.0</PresentationFormat>
  <Lines>110</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DAS</dc:creator>
  <cp:keywords>EL4</cp:keywords>
  <cp:lastModifiedBy>IOAKEIMIDOU Anastasia (ECHO)</cp:lastModifiedBy>
  <cp:revision>7</cp:revision>
  <dcterms:created xsi:type="dcterms:W3CDTF">2019-05-16T09:39:00Z</dcterms:created>
  <dcterms:modified xsi:type="dcterms:W3CDTF">2023-12-08T09:44:00Z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Hans DAS</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2023-12-08T09:44:26Z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345ff657-508d-4dfd-b43d-a26d43694c37</vt:lpwstr>
  </property>
  <property fmtid="{D5CDD505-2E9C-101B-9397-08002B2CF9AE}" pid="19" name="MSIP_Label_6bd9ddd1-4d20-43f6-abfa-fc3c07406f94_ContentBits">
    <vt:lpwstr>0</vt:lpwstr>
  </property>
</Properties>
</file>